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7C0FC" w14:textId="77777777" w:rsidR="00E079F0" w:rsidRDefault="00E079F0">
      <w:pPr>
        <w:rPr>
          <w:rFonts w:eastAsia="Times New Roman"/>
          <w:szCs w:val="21"/>
        </w:rPr>
      </w:pPr>
    </w:p>
    <w:p w14:paraId="121349E8" w14:textId="77777777" w:rsidR="00E079F0" w:rsidRDefault="00E079F0">
      <w:pPr>
        <w:jc w:val="left"/>
        <w:rPr>
          <w:rFonts w:eastAsia="Times New Roman"/>
          <w:sz w:val="28"/>
          <w:szCs w:val="28"/>
        </w:rPr>
      </w:pPr>
    </w:p>
    <w:p w14:paraId="09071244" w14:textId="77777777" w:rsidR="00E079F0" w:rsidRDefault="00E079F0">
      <w:pPr>
        <w:jc w:val="center"/>
        <w:rPr>
          <w:rFonts w:ascii="Times New Roman" w:eastAsia="方正小标宋简体" w:hAnsi="Times New Roman"/>
          <w:b/>
          <w:sz w:val="52"/>
          <w:szCs w:val="52"/>
        </w:rPr>
      </w:pPr>
      <w:r>
        <w:rPr>
          <w:rFonts w:ascii="Times New Roman" w:eastAsia="方正小标宋简体" w:hAnsi="Times New Roman" w:hint="eastAsia"/>
          <w:b/>
          <w:sz w:val="52"/>
          <w:szCs w:val="52"/>
        </w:rPr>
        <w:t>学位授权点建设年度报告</w:t>
      </w:r>
    </w:p>
    <w:p w14:paraId="6F546B08" w14:textId="77777777" w:rsidR="00E079F0" w:rsidRDefault="00E079F0">
      <w:pPr>
        <w:jc w:val="center"/>
        <w:rPr>
          <w:rFonts w:eastAsia="Times New Roman"/>
          <w:sz w:val="36"/>
          <w:szCs w:val="36"/>
        </w:rPr>
      </w:pPr>
      <w:r>
        <w:rPr>
          <w:rFonts w:ascii="宋体" w:hAnsi="宋体" w:cs="宋体" w:hint="eastAsia"/>
          <w:sz w:val="36"/>
          <w:szCs w:val="36"/>
        </w:rPr>
        <w:t>（</w:t>
      </w:r>
      <w:r>
        <w:rPr>
          <w:rFonts w:eastAsia="Times New Roman"/>
          <w:sz w:val="36"/>
          <w:szCs w:val="36"/>
        </w:rPr>
        <w:t>202</w:t>
      </w:r>
      <w:r w:rsidR="006D032A">
        <w:rPr>
          <w:rFonts w:eastAsia="Times New Roman"/>
          <w:sz w:val="36"/>
          <w:szCs w:val="36"/>
        </w:rPr>
        <w:t>1</w:t>
      </w:r>
      <w:r>
        <w:rPr>
          <w:rFonts w:ascii="宋体" w:hAnsi="宋体" w:cs="宋体" w:hint="eastAsia"/>
          <w:sz w:val="36"/>
          <w:szCs w:val="36"/>
        </w:rPr>
        <w:t>）</w:t>
      </w:r>
    </w:p>
    <w:p w14:paraId="149AF1D1" w14:textId="77777777" w:rsidR="00E079F0" w:rsidRDefault="00E079F0">
      <w:pPr>
        <w:jc w:val="left"/>
        <w:rPr>
          <w:rFonts w:eastAsia="Times New Roman"/>
          <w:szCs w:val="21"/>
        </w:rPr>
      </w:pPr>
    </w:p>
    <w:p w14:paraId="173BA596" w14:textId="77777777" w:rsidR="00E079F0" w:rsidRDefault="00E079F0">
      <w:pPr>
        <w:jc w:val="left"/>
        <w:rPr>
          <w:rFonts w:eastAsia="Times New Roman"/>
          <w:szCs w:val="21"/>
        </w:rPr>
      </w:pPr>
    </w:p>
    <w:p w14:paraId="664C29FB" w14:textId="77777777" w:rsidR="00E079F0" w:rsidRDefault="00E079F0">
      <w:pPr>
        <w:spacing w:line="720" w:lineRule="auto"/>
        <w:rPr>
          <w:rFonts w:ascii="楷体_GB2312" w:eastAsia="楷体_GB2312"/>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4D1898" w14:paraId="2E4B0A69" w14:textId="77777777">
        <w:tc>
          <w:tcPr>
            <w:tcW w:w="2160" w:type="dxa"/>
            <w:vMerge w:val="restart"/>
            <w:vAlign w:val="center"/>
          </w:tcPr>
          <w:p w14:paraId="12F36EC2"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授权学科</w:t>
            </w:r>
          </w:p>
          <w:p w14:paraId="1FECC386"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（类别）</w:t>
            </w:r>
          </w:p>
        </w:tc>
        <w:tc>
          <w:tcPr>
            <w:tcW w:w="2880" w:type="dxa"/>
            <w:tcBorders>
              <w:bottom w:val="single" w:sz="4" w:space="0" w:color="auto"/>
            </w:tcBorders>
            <w:vAlign w:val="center"/>
          </w:tcPr>
          <w:p w14:paraId="5915A440"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名称：会计</w:t>
            </w:r>
          </w:p>
        </w:tc>
      </w:tr>
      <w:tr w:rsidR="00E079F0" w:rsidRPr="004D1898" w14:paraId="09BD8B73" w14:textId="77777777">
        <w:tc>
          <w:tcPr>
            <w:tcW w:w="2160" w:type="dxa"/>
            <w:vMerge/>
          </w:tcPr>
          <w:p w14:paraId="0FDB2BD9" w14:textId="77777777" w:rsidR="00E079F0" w:rsidRPr="004D1898" w:rsidRDefault="00E079F0">
            <w:pPr>
              <w:spacing w:before="120" w:after="120"/>
              <w:jc w:val="center"/>
              <w:rPr>
                <w:rFonts w:ascii="楷体_GB2312" w:eastAsia="楷体_GB2312"/>
                <w:b/>
                <w:sz w:val="30"/>
                <w:szCs w:val="30"/>
              </w:rPr>
            </w:pPr>
          </w:p>
        </w:tc>
        <w:tc>
          <w:tcPr>
            <w:tcW w:w="2880" w:type="dxa"/>
            <w:tcBorders>
              <w:top w:val="single" w:sz="4" w:space="0" w:color="auto"/>
            </w:tcBorders>
            <w:vAlign w:val="center"/>
          </w:tcPr>
          <w:p w14:paraId="662DE52B"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代码：</w:t>
            </w:r>
            <w:r w:rsidRPr="004D1898">
              <w:rPr>
                <w:rFonts w:ascii="楷体_GB2312" w:eastAsia="楷体_GB2312"/>
                <w:b/>
                <w:sz w:val="30"/>
                <w:szCs w:val="30"/>
              </w:rPr>
              <w:t>12</w:t>
            </w:r>
            <w:r>
              <w:rPr>
                <w:rFonts w:ascii="楷体_GB2312" w:eastAsia="楷体_GB2312"/>
                <w:b/>
                <w:sz w:val="30"/>
                <w:szCs w:val="30"/>
              </w:rPr>
              <w:t>53</w:t>
            </w:r>
          </w:p>
        </w:tc>
      </w:tr>
    </w:tbl>
    <w:p w14:paraId="479B72AC" w14:textId="77777777" w:rsidR="00E079F0" w:rsidRDefault="00E079F0">
      <w:pPr>
        <w:spacing w:line="720" w:lineRule="auto"/>
        <w:jc w:val="center"/>
        <w:rPr>
          <w:rFonts w:ascii="楷体_GB2312" w:eastAsia="楷体_GB2312"/>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4D1898" w14:paraId="5882A6D5" w14:textId="77777777">
        <w:tc>
          <w:tcPr>
            <w:tcW w:w="2160" w:type="dxa"/>
            <w:vMerge w:val="restart"/>
            <w:vAlign w:val="center"/>
          </w:tcPr>
          <w:p w14:paraId="318B1DA8" w14:textId="77777777" w:rsidR="00E079F0" w:rsidRPr="004D1898" w:rsidRDefault="00E079F0">
            <w:pPr>
              <w:spacing w:before="120" w:after="120"/>
              <w:jc w:val="distribute"/>
              <w:rPr>
                <w:rFonts w:ascii="楷体_GB2312" w:eastAsia="楷体_GB2312"/>
                <w:b/>
                <w:sz w:val="30"/>
                <w:szCs w:val="30"/>
              </w:rPr>
            </w:pPr>
            <w:r w:rsidRPr="004D1898">
              <w:rPr>
                <w:rFonts w:ascii="楷体_GB2312" w:eastAsia="楷体_GB2312" w:hint="eastAsia"/>
                <w:b/>
                <w:sz w:val="30"/>
                <w:szCs w:val="30"/>
              </w:rPr>
              <w:t>授权级别</w:t>
            </w:r>
          </w:p>
        </w:tc>
        <w:tc>
          <w:tcPr>
            <w:tcW w:w="2880" w:type="dxa"/>
            <w:tcBorders>
              <w:bottom w:val="single" w:sz="4" w:space="0" w:color="auto"/>
            </w:tcBorders>
            <w:vAlign w:val="center"/>
          </w:tcPr>
          <w:p w14:paraId="40FD8275" w14:textId="77777777" w:rsidR="00E079F0" w:rsidRPr="004D1898" w:rsidRDefault="00E079F0">
            <w:pPr>
              <w:spacing w:before="120" w:after="120"/>
              <w:rPr>
                <w:rFonts w:ascii="楷体_GB2312" w:eastAsia="楷体_GB2312"/>
                <w:b/>
                <w:sz w:val="30"/>
                <w:szCs w:val="30"/>
              </w:rPr>
            </w:pPr>
            <w:r w:rsidRPr="004D1898">
              <w:rPr>
                <w:rFonts w:ascii="楷体_GB2312" w:eastAsia="楷体_GB2312" w:hint="eastAsia"/>
                <w:b/>
                <w:sz w:val="30"/>
                <w:szCs w:val="30"/>
              </w:rPr>
              <w:t>□</w:t>
            </w:r>
            <w:r w:rsidRPr="004D1898">
              <w:rPr>
                <w:rFonts w:ascii="楷体_GB2312" w:eastAsia="楷体_GB2312"/>
                <w:b/>
                <w:sz w:val="30"/>
                <w:szCs w:val="30"/>
              </w:rPr>
              <w:t xml:space="preserve">  </w:t>
            </w:r>
            <w:r w:rsidRPr="004D1898">
              <w:rPr>
                <w:rFonts w:ascii="楷体_GB2312" w:eastAsia="楷体_GB2312" w:hint="eastAsia"/>
                <w:b/>
                <w:sz w:val="30"/>
                <w:szCs w:val="30"/>
              </w:rPr>
              <w:t>博</w:t>
            </w:r>
            <w:r w:rsidRPr="004D1898">
              <w:rPr>
                <w:rFonts w:ascii="楷体_GB2312" w:eastAsia="楷体_GB2312"/>
                <w:b/>
                <w:sz w:val="30"/>
                <w:szCs w:val="30"/>
              </w:rPr>
              <w:t xml:space="preserve">  </w:t>
            </w:r>
            <w:r w:rsidRPr="004D1898">
              <w:rPr>
                <w:rFonts w:ascii="楷体_GB2312" w:eastAsia="楷体_GB2312" w:hint="eastAsia"/>
                <w:b/>
                <w:sz w:val="30"/>
                <w:szCs w:val="30"/>
              </w:rPr>
              <w:t>士</w:t>
            </w:r>
          </w:p>
        </w:tc>
      </w:tr>
      <w:tr w:rsidR="00E079F0" w:rsidRPr="004D1898" w14:paraId="6522E5B4" w14:textId="77777777">
        <w:tc>
          <w:tcPr>
            <w:tcW w:w="2160" w:type="dxa"/>
            <w:vMerge/>
          </w:tcPr>
          <w:p w14:paraId="27471B89" w14:textId="77777777" w:rsidR="00E079F0" w:rsidRPr="004D1898" w:rsidRDefault="00E079F0">
            <w:pPr>
              <w:spacing w:before="120" w:after="120"/>
              <w:jc w:val="center"/>
              <w:rPr>
                <w:rFonts w:ascii="楷体_GB2312" w:eastAsia="楷体_GB2312"/>
                <w:b/>
                <w:sz w:val="30"/>
                <w:szCs w:val="30"/>
              </w:rPr>
            </w:pPr>
          </w:p>
        </w:tc>
        <w:tc>
          <w:tcPr>
            <w:tcW w:w="2880" w:type="dxa"/>
            <w:tcBorders>
              <w:top w:val="single" w:sz="4" w:space="0" w:color="auto"/>
            </w:tcBorders>
            <w:vAlign w:val="center"/>
          </w:tcPr>
          <w:p w14:paraId="6DF82EA8" w14:textId="77777777" w:rsidR="00E079F0" w:rsidRPr="004D1898" w:rsidRDefault="00E079F0">
            <w:pPr>
              <w:spacing w:before="120" w:after="120"/>
              <w:rPr>
                <w:rFonts w:ascii="楷体_GB2312" w:eastAsia="楷体_GB2312"/>
                <w:b/>
                <w:sz w:val="30"/>
                <w:szCs w:val="30"/>
              </w:rPr>
            </w:pPr>
            <w:r w:rsidRPr="004D1898">
              <w:rPr>
                <w:rFonts w:ascii="楷体_GB2312" w:eastAsia="楷体_GB2312" w:hAnsi="Wingdings 2" w:hint="eastAsia"/>
                <w:b/>
                <w:sz w:val="30"/>
                <w:szCs w:val="30"/>
              </w:rPr>
              <w:sym w:font="Wingdings 2" w:char="F052"/>
            </w:r>
            <w:r w:rsidRPr="004D1898">
              <w:rPr>
                <w:rFonts w:ascii="楷体_GB2312" w:eastAsia="楷体_GB2312"/>
                <w:b/>
                <w:sz w:val="30"/>
                <w:szCs w:val="30"/>
              </w:rPr>
              <w:t xml:space="preserve">  </w:t>
            </w:r>
            <w:r w:rsidRPr="004D1898">
              <w:rPr>
                <w:rFonts w:ascii="楷体_GB2312" w:eastAsia="楷体_GB2312" w:hint="eastAsia"/>
                <w:b/>
                <w:sz w:val="30"/>
                <w:szCs w:val="30"/>
              </w:rPr>
              <w:t>硕</w:t>
            </w:r>
            <w:r w:rsidRPr="004D1898">
              <w:rPr>
                <w:rFonts w:ascii="楷体_GB2312" w:eastAsia="楷体_GB2312"/>
                <w:b/>
                <w:sz w:val="30"/>
                <w:szCs w:val="30"/>
              </w:rPr>
              <w:t xml:space="preserve">  </w:t>
            </w:r>
            <w:r w:rsidRPr="004D1898">
              <w:rPr>
                <w:rFonts w:ascii="楷体_GB2312" w:eastAsia="楷体_GB2312" w:hint="eastAsia"/>
                <w:b/>
                <w:sz w:val="30"/>
                <w:szCs w:val="30"/>
              </w:rPr>
              <w:t>士</w:t>
            </w:r>
          </w:p>
        </w:tc>
      </w:tr>
    </w:tbl>
    <w:p w14:paraId="06D32234" w14:textId="77777777" w:rsidR="00E079F0" w:rsidRDefault="00E079F0">
      <w:pPr>
        <w:spacing w:line="720" w:lineRule="auto"/>
        <w:jc w:val="center"/>
        <w:rPr>
          <w:rFonts w:ascii="楷体_GB2312" w:eastAsia="楷体_GB2312"/>
          <w:b/>
          <w:sz w:val="30"/>
          <w:szCs w:val="30"/>
        </w:rPr>
      </w:pPr>
    </w:p>
    <w:p w14:paraId="6CD3E95F" w14:textId="77777777" w:rsidR="00E079F0" w:rsidRDefault="00E079F0">
      <w:pPr>
        <w:spacing w:line="360" w:lineRule="auto"/>
        <w:jc w:val="center"/>
        <w:rPr>
          <w:rFonts w:ascii="楷体_GB2312" w:eastAsia="楷体_GB2312"/>
          <w:b/>
          <w:sz w:val="30"/>
          <w:szCs w:val="30"/>
        </w:rPr>
      </w:pPr>
    </w:p>
    <w:p w14:paraId="18ACE277" w14:textId="77777777" w:rsidR="00E079F0" w:rsidRDefault="00E079F0">
      <w:pPr>
        <w:spacing w:before="9"/>
        <w:rPr>
          <w:rFonts w:ascii="??_GB2312" w:hAnsi="??_GB2312" w:cs="??_GB2312"/>
          <w:sz w:val="19"/>
          <w:szCs w:val="19"/>
        </w:rPr>
      </w:pPr>
    </w:p>
    <w:p w14:paraId="3B78B9EF" w14:textId="77777777" w:rsidR="00E079F0" w:rsidRDefault="00E079F0">
      <w:pPr>
        <w:spacing w:before="9"/>
        <w:rPr>
          <w:rFonts w:ascii="??_GB2312" w:hAnsi="??_GB2312" w:cs="??_GB2312"/>
          <w:sz w:val="19"/>
          <w:szCs w:val="19"/>
        </w:rPr>
      </w:pPr>
    </w:p>
    <w:p w14:paraId="2181E356" w14:textId="77777777" w:rsidR="00E079F0" w:rsidRDefault="00E079F0">
      <w:pPr>
        <w:spacing w:before="9"/>
        <w:rPr>
          <w:rFonts w:ascii="??_GB2312" w:hAnsi="??_GB2312" w:cs="??_GB2312"/>
          <w:sz w:val="19"/>
          <w:szCs w:val="19"/>
        </w:rPr>
      </w:pPr>
    </w:p>
    <w:p w14:paraId="0EFB2819" w14:textId="77777777" w:rsidR="00E079F0" w:rsidRDefault="00E079F0">
      <w:pPr>
        <w:spacing w:before="9"/>
        <w:rPr>
          <w:rFonts w:ascii="??_GB2312" w:hAnsi="??_GB2312" w:cs="??_GB2312"/>
          <w:sz w:val="19"/>
          <w:szCs w:val="19"/>
        </w:rPr>
      </w:pPr>
    </w:p>
    <w:p w14:paraId="543DEFFE" w14:textId="77777777" w:rsidR="00E079F0" w:rsidRDefault="00E079F0">
      <w:pPr>
        <w:spacing w:line="416" w:lineRule="exact"/>
        <w:rPr>
          <w:rFonts w:ascii="??_GB2312" w:hAnsi="??_GB2312" w:cs="??_GB2312"/>
          <w:sz w:val="32"/>
          <w:szCs w:val="32"/>
        </w:rPr>
      </w:pPr>
    </w:p>
    <w:p w14:paraId="672CC3DB" w14:textId="77777777" w:rsidR="00E079F0" w:rsidRDefault="00E079F0">
      <w:pPr>
        <w:spacing w:line="416" w:lineRule="exact"/>
        <w:rPr>
          <w:rFonts w:ascii="??_GB2312" w:hAnsi="??_GB2312" w:cs="??_GB2312"/>
          <w:sz w:val="32"/>
          <w:szCs w:val="32"/>
        </w:rPr>
      </w:pPr>
    </w:p>
    <w:p w14:paraId="3B628791" w14:textId="1A14DC21" w:rsidR="00E079F0" w:rsidRDefault="00E079F0">
      <w:pPr>
        <w:jc w:val="center"/>
        <w:rPr>
          <w:rFonts w:eastAsia="Times New Roman"/>
          <w:szCs w:val="21"/>
        </w:rPr>
      </w:pPr>
      <w:r>
        <w:rPr>
          <w:rFonts w:eastAsia="楷体_GB2312"/>
          <w:b/>
          <w:sz w:val="30"/>
          <w:szCs w:val="30"/>
        </w:rPr>
        <w:t xml:space="preserve">2022 </w:t>
      </w:r>
      <w:r>
        <w:rPr>
          <w:rFonts w:eastAsia="楷体_GB2312" w:hint="eastAsia"/>
          <w:b/>
          <w:sz w:val="30"/>
          <w:szCs w:val="30"/>
        </w:rPr>
        <w:t>年</w:t>
      </w:r>
      <w:r>
        <w:rPr>
          <w:rFonts w:eastAsia="楷体_GB2312"/>
          <w:b/>
          <w:sz w:val="30"/>
          <w:szCs w:val="30"/>
        </w:rPr>
        <w:t>0</w:t>
      </w:r>
      <w:r w:rsidR="00BD1782">
        <w:rPr>
          <w:rFonts w:eastAsia="楷体_GB2312"/>
          <w:b/>
          <w:sz w:val="30"/>
          <w:szCs w:val="30"/>
        </w:rPr>
        <w:t>3</w:t>
      </w:r>
      <w:r>
        <w:rPr>
          <w:rFonts w:eastAsia="楷体_GB2312" w:hint="eastAsia"/>
          <w:b/>
          <w:sz w:val="30"/>
          <w:szCs w:val="30"/>
        </w:rPr>
        <w:t>月</w:t>
      </w:r>
      <w:r>
        <w:rPr>
          <w:rFonts w:eastAsia="楷体_GB2312"/>
          <w:b/>
          <w:sz w:val="30"/>
          <w:szCs w:val="30"/>
        </w:rPr>
        <w:t>10</w:t>
      </w:r>
      <w:r>
        <w:rPr>
          <w:rFonts w:eastAsia="楷体_GB2312" w:hint="eastAsia"/>
          <w:b/>
          <w:sz w:val="30"/>
          <w:szCs w:val="30"/>
        </w:rPr>
        <w:t>日</w:t>
      </w:r>
    </w:p>
    <w:p w14:paraId="4DF7ABCD" w14:textId="77777777" w:rsidR="00E079F0" w:rsidRDefault="00E079F0">
      <w:pPr>
        <w:jc w:val="left"/>
        <w:rPr>
          <w:rFonts w:eastAsia="Times New Roman"/>
          <w:szCs w:val="21"/>
        </w:rPr>
      </w:pPr>
    </w:p>
    <w:p w14:paraId="3186C76B" w14:textId="77777777" w:rsidR="00E079F0" w:rsidRDefault="00E079F0">
      <w:pPr>
        <w:jc w:val="left"/>
        <w:rPr>
          <w:rFonts w:eastAsia="Times New Roman"/>
          <w:szCs w:val="21"/>
        </w:rPr>
      </w:pPr>
    </w:p>
    <w:p w14:paraId="1A9D1596" w14:textId="77777777" w:rsidR="00E079F0" w:rsidRDefault="00E079F0">
      <w:pPr>
        <w:jc w:val="left"/>
        <w:rPr>
          <w:rFonts w:eastAsia="Times New Roman"/>
          <w:szCs w:val="21"/>
        </w:rPr>
      </w:pPr>
    </w:p>
    <w:p w14:paraId="1751DA6F" w14:textId="77777777" w:rsidR="00E079F0" w:rsidRDefault="00E079F0">
      <w:pPr>
        <w:jc w:val="left"/>
        <w:rPr>
          <w:rFonts w:eastAsia="Times New Roman"/>
          <w:szCs w:val="21"/>
        </w:rPr>
      </w:pPr>
    </w:p>
    <w:p w14:paraId="3A359DFB" w14:textId="77777777" w:rsidR="00E079F0" w:rsidRDefault="00E079F0">
      <w:pPr>
        <w:ind w:right="-226"/>
        <w:jc w:val="center"/>
        <w:rPr>
          <w:rFonts w:eastAsia="Times New Roman"/>
          <w:b/>
          <w:sz w:val="32"/>
          <w:szCs w:val="32"/>
        </w:rPr>
      </w:pPr>
      <w:r>
        <w:rPr>
          <w:rFonts w:ascii="宋体" w:hAnsi="宋体" w:cs="宋体" w:hint="eastAsia"/>
          <w:b/>
          <w:sz w:val="36"/>
          <w:szCs w:val="32"/>
        </w:rPr>
        <w:t>说</w:t>
      </w:r>
      <w:r>
        <w:rPr>
          <w:rFonts w:eastAsia="Times New Roman"/>
          <w:b/>
          <w:sz w:val="36"/>
          <w:szCs w:val="32"/>
        </w:rPr>
        <w:t xml:space="preserve">  </w:t>
      </w:r>
      <w:r>
        <w:rPr>
          <w:rFonts w:ascii="宋体" w:hAnsi="宋体" w:cs="宋体" w:hint="eastAsia"/>
          <w:b/>
          <w:sz w:val="36"/>
          <w:szCs w:val="32"/>
        </w:rPr>
        <w:t>明</w:t>
      </w:r>
    </w:p>
    <w:p w14:paraId="35FA6EDD" w14:textId="77777777" w:rsidR="00E079F0" w:rsidRDefault="00E079F0">
      <w:pPr>
        <w:rPr>
          <w:rFonts w:eastAsia="Times New Roman"/>
          <w:szCs w:val="21"/>
        </w:rPr>
      </w:pPr>
    </w:p>
    <w:p w14:paraId="637BF577" w14:textId="77777777" w:rsidR="00E079F0" w:rsidRDefault="00E079F0">
      <w:pPr>
        <w:rPr>
          <w:rFonts w:eastAsia="Times New Roman"/>
          <w:szCs w:val="21"/>
        </w:rPr>
      </w:pPr>
    </w:p>
    <w:p w14:paraId="2584C6A0"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一、本《学位授权点建设年度报告》是我校学位点建设阶段性检查、验收与绩效评价的依据，统计时间为每年</w:t>
      </w:r>
      <w:r>
        <w:rPr>
          <w:rFonts w:ascii="Times New Roman" w:hAnsi="Times New Roman"/>
          <w:sz w:val="24"/>
          <w:szCs w:val="32"/>
        </w:rPr>
        <w:t>1</w:t>
      </w:r>
      <w:r>
        <w:rPr>
          <w:rFonts w:ascii="宋体" w:hAnsi="宋体" w:cs="宋体" w:hint="eastAsia"/>
          <w:sz w:val="24"/>
          <w:szCs w:val="32"/>
        </w:rPr>
        <w:t>月</w:t>
      </w:r>
      <w:r>
        <w:rPr>
          <w:rFonts w:ascii="Times New Roman" w:hAnsi="Times New Roman"/>
          <w:sz w:val="24"/>
          <w:szCs w:val="32"/>
        </w:rPr>
        <w:t>1</w:t>
      </w:r>
      <w:r>
        <w:rPr>
          <w:rFonts w:ascii="宋体" w:hAnsi="宋体" w:cs="宋体" w:hint="eastAsia"/>
          <w:sz w:val="24"/>
          <w:szCs w:val="32"/>
        </w:rPr>
        <w:t>日至</w:t>
      </w:r>
      <w:r>
        <w:rPr>
          <w:rFonts w:ascii="Times New Roman" w:hAnsi="Times New Roman"/>
          <w:sz w:val="24"/>
          <w:szCs w:val="32"/>
        </w:rPr>
        <w:t>12</w:t>
      </w:r>
      <w:r>
        <w:rPr>
          <w:rFonts w:ascii="宋体" w:hAnsi="宋体" w:cs="宋体" w:hint="eastAsia"/>
          <w:sz w:val="24"/>
          <w:szCs w:val="32"/>
        </w:rPr>
        <w:t>月</w:t>
      </w:r>
      <w:r>
        <w:rPr>
          <w:rFonts w:ascii="Times New Roman" w:hAnsi="Times New Roman"/>
          <w:sz w:val="24"/>
          <w:szCs w:val="32"/>
        </w:rPr>
        <w:t>31</w:t>
      </w:r>
      <w:r>
        <w:rPr>
          <w:rFonts w:ascii="宋体" w:hAnsi="宋体" w:cs="宋体" w:hint="eastAsia"/>
          <w:sz w:val="24"/>
          <w:szCs w:val="32"/>
        </w:rPr>
        <w:t>日。</w:t>
      </w:r>
    </w:p>
    <w:p w14:paraId="71C4AD48"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二、本报告按学术学位授权点和专业学位授权点分别编写，同时获得博士、硕士学位授权的学科或专业学位类别，只编写一份总结报告。</w:t>
      </w:r>
    </w:p>
    <w:p w14:paraId="21389619" w14:textId="77777777" w:rsidR="00E079F0" w:rsidRDefault="00E079F0">
      <w:pPr>
        <w:spacing w:line="460" w:lineRule="exact"/>
        <w:rPr>
          <w:rFonts w:ascii="Times New Roman" w:hAnsi="Times New Roman"/>
          <w:sz w:val="24"/>
          <w:szCs w:val="32"/>
        </w:rPr>
      </w:pPr>
      <w:r>
        <w:rPr>
          <w:rFonts w:ascii="宋体" w:hAnsi="宋体" w:cs="宋体" w:hint="eastAsia"/>
          <w:sz w:val="24"/>
          <w:szCs w:val="32"/>
        </w:rPr>
        <w:t>三、各培养单位要结合人才需求、学科条件和发展目标，按照学位授权点评估工作要求，如实编制本报告。</w:t>
      </w:r>
    </w:p>
    <w:p w14:paraId="12E30923" w14:textId="77777777" w:rsidR="00E079F0" w:rsidRDefault="00E079F0">
      <w:pPr>
        <w:spacing w:line="460" w:lineRule="exact"/>
        <w:rPr>
          <w:rFonts w:ascii="Times New Roman" w:hAnsi="Times New Roman"/>
          <w:b/>
          <w:sz w:val="24"/>
          <w:szCs w:val="32"/>
        </w:rPr>
      </w:pPr>
      <w:r>
        <w:rPr>
          <w:rFonts w:ascii="宋体" w:hAnsi="宋体" w:cs="宋体" w:hint="eastAsia"/>
          <w:sz w:val="24"/>
          <w:szCs w:val="32"/>
        </w:rPr>
        <w:t>四、按照国务院学位委员会、教育部相关工作要求，</w:t>
      </w:r>
      <w:r>
        <w:rPr>
          <w:rFonts w:ascii="宋体" w:hAnsi="宋体" w:cs="宋体" w:hint="eastAsia"/>
          <w:b/>
          <w:sz w:val="24"/>
          <w:szCs w:val="32"/>
        </w:rPr>
        <w:t>本《学位授权点建设年度报</w:t>
      </w:r>
    </w:p>
    <w:p w14:paraId="2AE24534" w14:textId="77777777" w:rsidR="00E079F0" w:rsidRDefault="00E079F0">
      <w:pPr>
        <w:spacing w:line="460" w:lineRule="exact"/>
        <w:rPr>
          <w:rFonts w:ascii="Times New Roman" w:hAnsi="Times New Roman"/>
          <w:b/>
          <w:sz w:val="24"/>
          <w:szCs w:val="32"/>
        </w:rPr>
      </w:pPr>
      <w:r>
        <w:rPr>
          <w:rFonts w:ascii="宋体" w:hAnsi="宋体" w:cs="宋体" w:hint="eastAsia"/>
          <w:b/>
          <w:sz w:val="24"/>
          <w:szCs w:val="32"/>
        </w:rPr>
        <w:t>告》脱密后将在本单位门户网站发布。</w:t>
      </w:r>
    </w:p>
    <w:p w14:paraId="4585AC4A" w14:textId="77777777" w:rsidR="00E079F0" w:rsidRDefault="00E079F0" w:rsidP="0010113C">
      <w:pPr>
        <w:numPr>
          <w:ilvl w:val="0"/>
          <w:numId w:val="1"/>
        </w:numPr>
        <w:spacing w:line="460" w:lineRule="exact"/>
        <w:ind w:left="0" w:firstLineChars="200" w:firstLine="480"/>
        <w:rPr>
          <w:rFonts w:ascii="Times New Roman" w:hAnsi="Times New Roman"/>
          <w:sz w:val="24"/>
          <w:szCs w:val="32"/>
        </w:rPr>
        <w:sectPr w:rsidR="00E079F0">
          <w:pgSz w:w="11906" w:h="16838"/>
          <w:pgMar w:top="1440" w:right="1800" w:bottom="1440" w:left="1800" w:header="851" w:footer="992" w:gutter="0"/>
          <w:cols w:space="425"/>
          <w:docGrid w:type="lines" w:linePitch="312"/>
        </w:sectPr>
      </w:pPr>
    </w:p>
    <w:p w14:paraId="342F68E7" w14:textId="77777777" w:rsidR="00E079F0" w:rsidRDefault="00E079F0" w:rsidP="0010113C">
      <w:pPr>
        <w:spacing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lastRenderedPageBreak/>
        <w:t>一、学位授权点基本情况</w:t>
      </w:r>
    </w:p>
    <w:p w14:paraId="19D82D7A"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（一）目标与标准</w:t>
      </w:r>
    </w:p>
    <w:p w14:paraId="155566B5"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w:t>
      </w:r>
      <w:r>
        <w:rPr>
          <w:rFonts w:ascii="??_GB2312" w:eastAsia="Times New Roman"/>
          <w:b/>
          <w:bCs/>
          <w:sz w:val="28"/>
          <w:szCs w:val="28"/>
        </w:rPr>
        <w:t>培养目标</w:t>
      </w:r>
    </w:p>
    <w:p w14:paraId="0851E8E0"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会计硕士专业学位研究生教育直接面向职业需求，培养适应区域和地方经济建设需要，具备良好的职业道德、创新精神、战略意识和沟通协作能力，具有开放的国际视野和较强的专业能力，能够熟练运用现代会计、财务、审计及相关领域的专业知识分析并解决实际问题，能够在政府部门、企事业单位及金融机构等领域创造性地从事会计管理工作的高层次应用型专门人才。</w:t>
      </w:r>
    </w:p>
    <w:p w14:paraId="495F98EA"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2.</w:t>
      </w:r>
      <w:r>
        <w:rPr>
          <w:rFonts w:ascii="??_GB2312" w:eastAsia="Times New Roman"/>
          <w:b/>
          <w:bCs/>
          <w:sz w:val="28"/>
          <w:szCs w:val="28"/>
        </w:rPr>
        <w:t>学位标准</w:t>
      </w:r>
    </w:p>
    <w:p w14:paraId="737A240B"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学位点结合专业学位特点与办学定位及特色制定了学位授予质量标准，并在日常培养过程中认真执行。</w:t>
      </w:r>
    </w:p>
    <w:p w14:paraId="2FC5AE70"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会计硕士专业学位论文要体现专业学位特点，突出学以致用，注重解决实际问题。学位论文应当体现学生已系统掌握会计理论、专业知识和研究方法，具备综合运用会计等相关学科的理论、知识、方法，分析和解决会计相关领域实际问题的能力，并具有一定创新性和实用价值。</w:t>
      </w:r>
    </w:p>
    <w:p w14:paraId="4DC1BCA7"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1</w:t>
      </w:r>
      <w:r>
        <w:rPr>
          <w:rFonts w:ascii="??_GB2312" w:eastAsia="Times New Roman"/>
          <w:sz w:val="28"/>
          <w:szCs w:val="28"/>
        </w:rPr>
        <w:t>）选题要求：论文选题应来源于应用课题或现实问题。选题新颖，反映当前会计相关领域的重要问题，有明确的职业背景和行业应用价值。</w:t>
      </w:r>
    </w:p>
    <w:p w14:paraId="1C6F34D4" w14:textId="77777777" w:rsidR="00E079F0" w:rsidRDefault="00E079F0" w:rsidP="0010113C">
      <w:pPr>
        <w:spacing w:line="400" w:lineRule="exact"/>
        <w:ind w:firstLineChars="200" w:firstLine="560"/>
        <w:rPr>
          <w:rFonts w:ascii="??_GB2312" w:eastAsia="Times New Roman"/>
          <w:sz w:val="28"/>
          <w:szCs w:val="28"/>
        </w:rPr>
      </w:pPr>
      <w:r>
        <w:rPr>
          <w:rFonts w:ascii="??_GB2312" w:eastAsia="Times New Roman"/>
          <w:sz w:val="28"/>
          <w:szCs w:val="28"/>
        </w:rPr>
        <w:t>（</w:t>
      </w:r>
      <w:r>
        <w:rPr>
          <w:rFonts w:ascii="??_GB2312" w:eastAsia="Times New Roman"/>
          <w:sz w:val="28"/>
          <w:szCs w:val="28"/>
        </w:rPr>
        <w:t>2</w:t>
      </w:r>
      <w:r>
        <w:rPr>
          <w:rFonts w:ascii="??_GB2312" w:eastAsia="Times New Roman"/>
          <w:sz w:val="28"/>
          <w:szCs w:val="28"/>
        </w:rPr>
        <w:t>）类型要求：论文类型一般应采用案例分析、调研（调查）报告、专题研究、组织（管理）诊断、其他类型等。</w:t>
      </w:r>
      <w:r>
        <w:rPr>
          <w:rFonts w:ascii="??_GB2312" w:eastAsia="Times New Roman"/>
          <w:sz w:val="28"/>
          <w:szCs w:val="28"/>
        </w:rPr>
        <w:t xml:space="preserve"> </w:t>
      </w:r>
    </w:p>
    <w:p w14:paraId="714A5A8A" w14:textId="349BDAE4"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3</w:t>
      </w:r>
      <w:r>
        <w:rPr>
          <w:rFonts w:ascii="??_GB2312" w:eastAsia="Times New Roman"/>
          <w:sz w:val="28"/>
          <w:szCs w:val="28"/>
        </w:rPr>
        <w:t>）规范要求：论文内容要完整，包括论文题目、中英文摘要、关键词、目录、正文、参考文献等；引证资料准确，符合学术规范；论文结构合理，逻辑性强；文字表达准确、流畅；概念表述清楚；论文篇幅不少于</w:t>
      </w:r>
      <w:r w:rsidR="00B935EC">
        <w:rPr>
          <w:rFonts w:ascii="??_GB2312" w:eastAsia="Times New Roman"/>
          <w:sz w:val="28"/>
          <w:szCs w:val="28"/>
        </w:rPr>
        <w:t>3</w:t>
      </w:r>
      <w:r>
        <w:rPr>
          <w:rFonts w:ascii="??_GB2312" w:eastAsia="Times New Roman"/>
          <w:sz w:val="28"/>
          <w:szCs w:val="28"/>
        </w:rPr>
        <w:t>万字，总文字复制比低于</w:t>
      </w:r>
      <w:r w:rsidR="00B935EC">
        <w:rPr>
          <w:rFonts w:ascii="??_GB2312" w:eastAsia="Times New Roman"/>
          <w:sz w:val="28"/>
          <w:szCs w:val="28"/>
        </w:rPr>
        <w:t>15</w:t>
      </w:r>
      <w:r>
        <w:rPr>
          <w:rFonts w:ascii="??_GB2312" w:eastAsia="Times New Roman"/>
          <w:sz w:val="28"/>
          <w:szCs w:val="28"/>
        </w:rPr>
        <w:t>%</w:t>
      </w:r>
      <w:r>
        <w:rPr>
          <w:rFonts w:ascii="??_GB2312" w:eastAsia="Times New Roman"/>
          <w:sz w:val="28"/>
          <w:szCs w:val="28"/>
        </w:rPr>
        <w:t>；符合《山西师范大学学位论文写作规范（</w:t>
      </w:r>
      <w:r>
        <w:rPr>
          <w:rFonts w:ascii="??_GB2312" w:eastAsia="Times New Roman"/>
          <w:sz w:val="28"/>
          <w:szCs w:val="28"/>
        </w:rPr>
        <w:t>2017</w:t>
      </w:r>
      <w:r>
        <w:rPr>
          <w:rFonts w:ascii="??_GB2312" w:eastAsia="Times New Roman"/>
          <w:sz w:val="28"/>
          <w:szCs w:val="28"/>
        </w:rPr>
        <w:t>）》要求。</w:t>
      </w:r>
    </w:p>
    <w:p w14:paraId="4C8062CF"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w:t>
      </w:r>
      <w:r>
        <w:rPr>
          <w:rFonts w:ascii="??_GB2312" w:eastAsia="Times New Roman"/>
          <w:sz w:val="28"/>
          <w:szCs w:val="28"/>
        </w:rPr>
        <w:t>4</w:t>
      </w:r>
      <w:r>
        <w:rPr>
          <w:rFonts w:ascii="??_GB2312" w:eastAsia="Times New Roman"/>
          <w:sz w:val="28"/>
          <w:szCs w:val="28"/>
        </w:rPr>
        <w:t>）质量要求：论文应以相关学术理论为支撑，研究方法应用合理；论文紧密结合会计行业实际工作，深入调研，掌握材料充分，剖析问题深刻，对解决实际问题具有借鉴价值；论文的推理分析准确、逻辑严谨，理论和实践材料的使用依据充分合理；论文的观点和研究结论应当明确，并具有一定的创新性。</w:t>
      </w:r>
    </w:p>
    <w:p w14:paraId="745B70A5"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lastRenderedPageBreak/>
        <w:t>（</w:t>
      </w:r>
      <w:r>
        <w:rPr>
          <w:rFonts w:ascii="??_GB2312" w:eastAsia="Times New Roman"/>
          <w:sz w:val="28"/>
          <w:szCs w:val="28"/>
        </w:rPr>
        <w:t>5</w:t>
      </w:r>
      <w:r>
        <w:rPr>
          <w:rFonts w:ascii="??_GB2312" w:eastAsia="Times New Roman"/>
          <w:sz w:val="28"/>
          <w:szCs w:val="28"/>
        </w:rPr>
        <w:t>）实行学位论文开题报告、中期检查、预答辩、匿名外审制度。答辩前必须通过是否存在学术不端问题审查并出具书面结论。论文指导、评阅或答辩工作须有高级专业技术职称的校外实务部门专业人员参与。</w:t>
      </w:r>
    </w:p>
    <w:p w14:paraId="72FD54C9"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完成全部课程学习，成绩合格取得相应学分，并且通过学位论文答辩，经学校学位评定委员会审核，授予会计硕士专业学位。</w:t>
      </w:r>
    </w:p>
    <w:p w14:paraId="7BAAA41E"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（二）基本条件</w:t>
      </w:r>
    </w:p>
    <w:p w14:paraId="5C6711E7"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w:t>
      </w:r>
      <w:r>
        <w:rPr>
          <w:rFonts w:ascii="??_GB2312" w:eastAsia="Times New Roman"/>
          <w:b/>
          <w:bCs/>
          <w:sz w:val="28"/>
          <w:szCs w:val="28"/>
        </w:rPr>
        <w:t>培养特色</w:t>
      </w:r>
    </w:p>
    <w:p w14:paraId="7926A042" w14:textId="78A919BE" w:rsidR="00E079F0" w:rsidRDefault="00E079F0" w:rsidP="0010113C">
      <w:pPr>
        <w:spacing w:line="400" w:lineRule="exact"/>
        <w:ind w:firstLineChars="200" w:firstLine="560"/>
        <w:rPr>
          <w:rFonts w:ascii="??_GB2312"/>
          <w:sz w:val="28"/>
          <w:szCs w:val="28"/>
        </w:rPr>
      </w:pPr>
      <w:r>
        <w:rPr>
          <w:rFonts w:ascii="??_GB2312" w:eastAsia="Times New Roman"/>
          <w:sz w:val="28"/>
          <w:szCs w:val="28"/>
        </w:rPr>
        <w:t>既遵循高层次人才培养的一般规律，又深入探索会计硕士专业学位教育的特有规律；注重与兄弟院校的合作交流；通过建立完善的质量监督与保障制度，保证会计硕士专业学位教育和培养质量；建立了</w:t>
      </w:r>
      <w:r>
        <w:rPr>
          <w:rFonts w:ascii="??_GB2312" w:eastAsia="Times New Roman"/>
          <w:sz w:val="28"/>
          <w:szCs w:val="28"/>
        </w:rPr>
        <w:t>20</w:t>
      </w:r>
      <w:r>
        <w:rPr>
          <w:rFonts w:ascii="??_GB2312" w:eastAsia="Times New Roman"/>
          <w:sz w:val="28"/>
          <w:szCs w:val="28"/>
        </w:rPr>
        <w:t>余家实习实践基地，注重通过阐教融合联合培养专业学位硕士生。</w:t>
      </w:r>
    </w:p>
    <w:p w14:paraId="0A4D8DC8" w14:textId="406EB04F" w:rsidR="00BE0E46" w:rsidRDefault="00BE0E46" w:rsidP="0010113C">
      <w:pPr>
        <w:spacing w:line="400" w:lineRule="exact"/>
        <w:ind w:firstLineChars="200" w:firstLine="560"/>
        <w:rPr>
          <w:rFonts w:ascii="??_GB2312"/>
          <w:sz w:val="28"/>
          <w:szCs w:val="28"/>
        </w:rPr>
      </w:pPr>
      <w:r>
        <w:rPr>
          <w:rFonts w:ascii="??_GB2312" w:hint="eastAsia"/>
          <w:sz w:val="28"/>
          <w:szCs w:val="28"/>
        </w:rPr>
        <w:t>培养内容</w:t>
      </w:r>
      <w:r w:rsidRPr="00BE0E46">
        <w:rPr>
          <w:rFonts w:ascii="??_GB2312" w:hint="eastAsia"/>
          <w:sz w:val="28"/>
          <w:szCs w:val="28"/>
        </w:rPr>
        <w:t>会深入探讨会计领域的各个方面，包括财务会计、管理会计、审计、税务、成本会计等。学生将获得更深入的专业知识，以满足复杂会计领域的需求</w:t>
      </w:r>
      <w:r>
        <w:rPr>
          <w:rFonts w:ascii="??_GB2312" w:hint="eastAsia"/>
          <w:sz w:val="28"/>
          <w:szCs w:val="28"/>
        </w:rPr>
        <w:t>；</w:t>
      </w:r>
      <w:r w:rsidRPr="00BE0E46">
        <w:rPr>
          <w:rFonts w:ascii="??_GB2312" w:hint="eastAsia"/>
          <w:sz w:val="28"/>
          <w:szCs w:val="28"/>
        </w:rPr>
        <w:t>注重实际应用，包括案例分析、项目管理、实习机会等。学生有机会将所学的理论知识应用到实际问题中，培养实际问题解决能</w:t>
      </w:r>
      <w:r>
        <w:rPr>
          <w:rFonts w:ascii="??_GB2312" w:hint="eastAsia"/>
          <w:sz w:val="28"/>
          <w:szCs w:val="28"/>
        </w:rPr>
        <w:t>力；</w:t>
      </w:r>
      <w:r w:rsidR="004A5808" w:rsidRPr="004A5808">
        <w:rPr>
          <w:rFonts w:ascii="??_GB2312" w:hint="eastAsia"/>
          <w:sz w:val="28"/>
          <w:szCs w:val="28"/>
        </w:rPr>
        <w:t>会计领域日益国际化，因此</w:t>
      </w:r>
      <w:r w:rsidR="000A6AB5">
        <w:rPr>
          <w:rFonts w:ascii="??_GB2312" w:hint="eastAsia"/>
          <w:sz w:val="28"/>
          <w:szCs w:val="28"/>
        </w:rPr>
        <w:t>学生</w:t>
      </w:r>
      <w:r w:rsidR="004A5808">
        <w:rPr>
          <w:rFonts w:ascii="??_GB2312" w:hint="eastAsia"/>
          <w:sz w:val="28"/>
          <w:szCs w:val="28"/>
        </w:rPr>
        <w:t>的培养也</w:t>
      </w:r>
      <w:r w:rsidR="004A5808" w:rsidRPr="004A5808">
        <w:rPr>
          <w:rFonts w:ascii="??_GB2312" w:hint="eastAsia"/>
          <w:sz w:val="28"/>
          <w:szCs w:val="28"/>
        </w:rPr>
        <w:t>会强调国际会计准则（如国际财务报告准则</w:t>
      </w:r>
      <w:r w:rsidR="004A5808" w:rsidRPr="004A5808">
        <w:rPr>
          <w:rFonts w:ascii="??_GB2312" w:hint="eastAsia"/>
          <w:sz w:val="28"/>
          <w:szCs w:val="28"/>
        </w:rPr>
        <w:t>-IFRS</w:t>
      </w:r>
      <w:r w:rsidR="004A5808" w:rsidRPr="004A5808">
        <w:rPr>
          <w:rFonts w:ascii="??_GB2312" w:hint="eastAsia"/>
          <w:sz w:val="28"/>
          <w:szCs w:val="28"/>
        </w:rPr>
        <w:t>）和国际税务制度。学生将获得国际化的视野，为跨国公司工作做好准备</w:t>
      </w:r>
      <w:r w:rsidR="004A5808">
        <w:rPr>
          <w:rFonts w:ascii="??_GB2312" w:hint="eastAsia"/>
          <w:sz w:val="28"/>
          <w:szCs w:val="28"/>
        </w:rPr>
        <w:t>；学位点</w:t>
      </w:r>
      <w:r w:rsidR="004A5808" w:rsidRPr="004A5808">
        <w:rPr>
          <w:rFonts w:ascii="??_GB2312" w:hint="eastAsia"/>
          <w:sz w:val="28"/>
          <w:szCs w:val="28"/>
        </w:rPr>
        <w:t>提供职业指导、就业服务和校友网络，帮助学生顺利进入会计职业，并提供职业晋升机会。</w:t>
      </w:r>
      <w:r w:rsidR="00AA5D11">
        <w:rPr>
          <w:rFonts w:ascii="??_GB2312" w:hint="eastAsia"/>
          <w:sz w:val="28"/>
          <w:szCs w:val="28"/>
        </w:rPr>
        <w:t>学位点</w:t>
      </w:r>
      <w:r w:rsidR="000771BD" w:rsidRPr="000771BD">
        <w:rPr>
          <w:rFonts w:ascii="??_GB2312" w:hint="eastAsia"/>
          <w:sz w:val="28"/>
          <w:szCs w:val="28"/>
        </w:rPr>
        <w:t>鼓励学生参与研究项目，以培养他们的研究能力，为未来从事学术或研究工作打下基础。</w:t>
      </w:r>
    </w:p>
    <w:p w14:paraId="59DEFFE8"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2.</w:t>
      </w:r>
      <w:r>
        <w:rPr>
          <w:rFonts w:ascii="??_GB2312" w:eastAsia="Times New Roman"/>
          <w:b/>
          <w:bCs/>
          <w:sz w:val="28"/>
          <w:szCs w:val="28"/>
        </w:rPr>
        <w:t>师资队伍</w:t>
      </w:r>
    </w:p>
    <w:p w14:paraId="228263B3" w14:textId="05270CF5" w:rsidR="00F95EBF" w:rsidRDefault="00F14642" w:rsidP="0010113C">
      <w:pPr>
        <w:spacing w:line="400" w:lineRule="exact"/>
        <w:ind w:firstLineChars="200" w:firstLine="560"/>
        <w:rPr>
          <w:rFonts w:ascii="宋体" w:hAnsi="宋体" w:cs="宋体"/>
          <w:sz w:val="28"/>
          <w:szCs w:val="28"/>
        </w:rPr>
      </w:pPr>
      <w:r w:rsidRPr="00F14642">
        <w:rPr>
          <w:rFonts w:ascii="宋体" w:hAnsi="宋体" w:cs="宋体" w:hint="eastAsia"/>
          <w:sz w:val="28"/>
          <w:szCs w:val="28"/>
        </w:rPr>
        <w:t>师资队伍具备深厚的学术背景和专业知识，以便能够为学生提供高质量的教育。</w:t>
      </w:r>
      <w:r>
        <w:rPr>
          <w:rFonts w:ascii="宋体" w:hAnsi="宋体" w:cs="宋体" w:hint="eastAsia"/>
          <w:sz w:val="28"/>
          <w:szCs w:val="28"/>
        </w:rPr>
        <w:t>导师</w:t>
      </w:r>
      <w:r w:rsidRPr="00F14642">
        <w:rPr>
          <w:rFonts w:ascii="宋体" w:hAnsi="宋体" w:cs="宋体" w:hint="eastAsia"/>
          <w:sz w:val="28"/>
          <w:szCs w:val="28"/>
        </w:rPr>
        <w:t>们在会计领域有丰富的研究经验和专业知识。一些</w:t>
      </w:r>
      <w:r>
        <w:rPr>
          <w:rFonts w:ascii="宋体" w:hAnsi="宋体" w:cs="宋体" w:hint="eastAsia"/>
          <w:sz w:val="28"/>
          <w:szCs w:val="28"/>
        </w:rPr>
        <w:t>导师</w:t>
      </w:r>
      <w:r w:rsidRPr="00F14642">
        <w:rPr>
          <w:rFonts w:ascii="宋体" w:hAnsi="宋体" w:cs="宋体" w:hint="eastAsia"/>
          <w:sz w:val="28"/>
          <w:szCs w:val="28"/>
        </w:rPr>
        <w:t>具有在会计职业领域的实践经验，有助于将理论知识与实际工作联系起来，为学生提供实际案例和经验分享。</w:t>
      </w:r>
      <w:r>
        <w:rPr>
          <w:rFonts w:ascii="宋体" w:hAnsi="宋体" w:cs="宋体" w:hint="eastAsia"/>
          <w:sz w:val="28"/>
          <w:szCs w:val="28"/>
        </w:rPr>
        <w:t>学位点拥</w:t>
      </w:r>
      <w:r w:rsidRPr="00F14642">
        <w:rPr>
          <w:rFonts w:ascii="宋体" w:hAnsi="宋体" w:cs="宋体" w:hint="eastAsia"/>
          <w:sz w:val="28"/>
          <w:szCs w:val="28"/>
        </w:rPr>
        <w:t>有积极从事会计领域研究的师资队伍可以为学生提供最新的行业洞见和趋势</w:t>
      </w:r>
      <w:r w:rsidR="00F95EBF">
        <w:rPr>
          <w:rFonts w:ascii="宋体" w:hAnsi="宋体" w:cs="宋体" w:hint="eastAsia"/>
          <w:sz w:val="28"/>
          <w:szCs w:val="28"/>
        </w:rPr>
        <w:t>。导师时刻</w:t>
      </w:r>
      <w:r w:rsidR="00F95EBF" w:rsidRPr="00F95EBF">
        <w:rPr>
          <w:rFonts w:ascii="宋体" w:hAnsi="宋体" w:cs="宋体" w:hint="eastAsia"/>
          <w:sz w:val="28"/>
          <w:szCs w:val="28"/>
        </w:rPr>
        <w:t>关心学生的学术成长和职业发展</w:t>
      </w:r>
      <w:r w:rsidR="00F95EBF">
        <w:rPr>
          <w:rFonts w:ascii="宋体" w:hAnsi="宋体" w:cs="宋体" w:hint="eastAsia"/>
          <w:sz w:val="28"/>
          <w:szCs w:val="28"/>
        </w:rPr>
        <w:t>，为学生</w:t>
      </w:r>
      <w:r w:rsidR="00F95EBF" w:rsidRPr="00F95EBF">
        <w:rPr>
          <w:rFonts w:ascii="宋体" w:hAnsi="宋体" w:cs="宋体" w:hint="eastAsia"/>
          <w:sz w:val="28"/>
          <w:szCs w:val="28"/>
        </w:rPr>
        <w:t>提供学术建议、职业指导，并建立与学生之间的积极互动。</w:t>
      </w:r>
      <w:r w:rsidR="00F95EBF">
        <w:rPr>
          <w:rFonts w:ascii="宋体" w:hAnsi="宋体" w:cs="宋体" w:hint="eastAsia"/>
          <w:sz w:val="28"/>
          <w:szCs w:val="28"/>
        </w:rPr>
        <w:t>导师们</w:t>
      </w:r>
      <w:r w:rsidR="00F95EBF" w:rsidRPr="00F95EBF">
        <w:rPr>
          <w:rFonts w:ascii="宋体" w:hAnsi="宋体" w:cs="宋体" w:hint="eastAsia"/>
          <w:sz w:val="28"/>
          <w:szCs w:val="28"/>
        </w:rPr>
        <w:t>具有广泛的校外联系，与会计行业和专业组织有密切合作，以为学生提供实习和就业机会，以及与业界专家交流的机会。</w:t>
      </w:r>
    </w:p>
    <w:p w14:paraId="5B0C51E7" w14:textId="1B83F8BC" w:rsidR="00E079F0" w:rsidRDefault="009133A9" w:rsidP="0010113C">
      <w:pPr>
        <w:spacing w:line="400" w:lineRule="exact"/>
        <w:ind w:firstLineChars="200" w:firstLine="560"/>
        <w:rPr>
          <w:rFonts w:ascii="??_GB2312"/>
          <w:sz w:val="28"/>
          <w:szCs w:val="28"/>
        </w:rPr>
      </w:pPr>
      <w:r>
        <w:rPr>
          <w:rFonts w:ascii="宋体" w:hAnsi="宋体" w:cs="宋体" w:hint="eastAsia"/>
          <w:sz w:val="28"/>
          <w:szCs w:val="28"/>
        </w:rPr>
        <w:t>在选拔导师方面，</w:t>
      </w:r>
      <w:r w:rsidR="00E079F0">
        <w:rPr>
          <w:rFonts w:ascii="??_GB2312" w:eastAsia="Times New Roman"/>
          <w:sz w:val="28"/>
          <w:szCs w:val="28"/>
        </w:rPr>
        <w:t>破除唯论文唯课题导向，基于职称、学位与专</w:t>
      </w:r>
      <w:r w:rsidR="00E079F0">
        <w:rPr>
          <w:rFonts w:ascii="??_GB2312" w:eastAsia="Times New Roman"/>
          <w:sz w:val="28"/>
          <w:szCs w:val="28"/>
        </w:rPr>
        <w:lastRenderedPageBreak/>
        <w:t>业证书并重的原则建设师资队伍。在保证师德师风的前提下，拥有一定科学研究能力的高级职称教师、博士与持有注册会计师、注册税务师等证书的教师均可成为会计硕士专业学位师资队伍的一员。共有师资队伍</w:t>
      </w:r>
      <w:r w:rsidR="00E079F0">
        <w:rPr>
          <w:rFonts w:ascii="??_GB2312" w:eastAsia="Times New Roman"/>
          <w:sz w:val="28"/>
          <w:szCs w:val="28"/>
        </w:rPr>
        <w:t>19</w:t>
      </w:r>
      <w:r w:rsidR="00E079F0">
        <w:rPr>
          <w:rFonts w:ascii="??_GB2312" w:eastAsia="Times New Roman"/>
          <w:sz w:val="28"/>
          <w:szCs w:val="28"/>
        </w:rPr>
        <w:t>人，其中高级职称</w:t>
      </w:r>
      <w:r w:rsidR="00E079F0">
        <w:rPr>
          <w:rFonts w:ascii="??_GB2312"/>
          <w:sz w:val="28"/>
          <w:szCs w:val="28"/>
        </w:rPr>
        <w:t>8</w:t>
      </w:r>
      <w:r w:rsidR="00E079F0">
        <w:rPr>
          <w:rFonts w:ascii="??_GB2312" w:eastAsia="Times New Roman"/>
          <w:sz w:val="28"/>
          <w:szCs w:val="28"/>
        </w:rPr>
        <w:t>人，占比</w:t>
      </w:r>
      <w:r w:rsidR="00E079F0">
        <w:rPr>
          <w:rFonts w:ascii="??_GB2312"/>
          <w:sz w:val="28"/>
          <w:szCs w:val="28"/>
        </w:rPr>
        <w:t>42.1</w:t>
      </w:r>
      <w:r w:rsidR="00E079F0">
        <w:rPr>
          <w:rFonts w:ascii="??_GB2312" w:eastAsia="Times New Roman"/>
          <w:sz w:val="28"/>
          <w:szCs w:val="28"/>
        </w:rPr>
        <w:t>%</w:t>
      </w:r>
      <w:r w:rsidR="00E079F0">
        <w:rPr>
          <w:rFonts w:ascii="??_GB2312" w:eastAsia="Times New Roman"/>
          <w:sz w:val="28"/>
          <w:szCs w:val="28"/>
        </w:rPr>
        <w:t>，拥有博士学位的</w:t>
      </w:r>
      <w:r w:rsidR="00E079F0">
        <w:rPr>
          <w:rFonts w:ascii="??_GB2312" w:eastAsia="Times New Roman"/>
          <w:sz w:val="28"/>
          <w:szCs w:val="28"/>
        </w:rPr>
        <w:t>1</w:t>
      </w:r>
      <w:r w:rsidR="00B935EC">
        <w:rPr>
          <w:rFonts w:ascii="??_GB2312" w:eastAsia="Times New Roman"/>
          <w:sz w:val="28"/>
          <w:szCs w:val="28"/>
        </w:rPr>
        <w:t>1</w:t>
      </w:r>
      <w:r w:rsidR="00E079F0">
        <w:rPr>
          <w:rFonts w:ascii="??_GB2312" w:eastAsia="Times New Roman"/>
          <w:sz w:val="28"/>
          <w:szCs w:val="28"/>
        </w:rPr>
        <w:t>人，占比</w:t>
      </w:r>
      <w:r w:rsidR="00B935EC">
        <w:rPr>
          <w:rFonts w:ascii="??_GB2312" w:eastAsia="Times New Roman"/>
          <w:sz w:val="28"/>
          <w:szCs w:val="28"/>
        </w:rPr>
        <w:t>57.9</w:t>
      </w:r>
      <w:r w:rsidR="00E079F0">
        <w:rPr>
          <w:rFonts w:ascii="??_GB2312" w:eastAsia="Times New Roman"/>
          <w:sz w:val="28"/>
          <w:szCs w:val="28"/>
        </w:rPr>
        <w:t>%</w:t>
      </w:r>
      <w:r w:rsidR="00E079F0">
        <w:rPr>
          <w:rFonts w:ascii="??_GB2312" w:eastAsia="Times New Roman"/>
          <w:sz w:val="28"/>
          <w:szCs w:val="28"/>
        </w:rPr>
        <w:t>。师资队伍职称结构、年龄结构与学历结构合理。</w:t>
      </w:r>
    </w:p>
    <w:p w14:paraId="02AEF6F8"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3.</w:t>
      </w:r>
      <w:r>
        <w:rPr>
          <w:rFonts w:ascii="??_GB2312" w:eastAsia="Times New Roman"/>
          <w:b/>
          <w:bCs/>
          <w:sz w:val="28"/>
          <w:szCs w:val="28"/>
        </w:rPr>
        <w:t>科学研究</w:t>
      </w:r>
    </w:p>
    <w:p w14:paraId="0D4538BA" w14:textId="63724FEA" w:rsidR="00E079F0" w:rsidRDefault="00E079F0" w:rsidP="0010113C">
      <w:pPr>
        <w:spacing w:line="400" w:lineRule="exact"/>
        <w:ind w:firstLineChars="200" w:firstLine="560"/>
        <w:rPr>
          <w:rFonts w:ascii="??_GB2312"/>
          <w:sz w:val="28"/>
          <w:szCs w:val="28"/>
        </w:rPr>
      </w:pPr>
      <w:r>
        <w:rPr>
          <w:rFonts w:ascii="??_GB2312" w:eastAsia="Times New Roman"/>
          <w:sz w:val="28"/>
          <w:szCs w:val="28"/>
        </w:rPr>
        <w:t>在国内外学术刊物上公开发表学术论文</w:t>
      </w:r>
      <w:r>
        <w:rPr>
          <w:rFonts w:ascii="??_GB2312" w:eastAsia="Times New Roman"/>
          <w:sz w:val="28"/>
          <w:szCs w:val="28"/>
        </w:rPr>
        <w:t>10</w:t>
      </w:r>
      <w:r>
        <w:rPr>
          <w:rFonts w:ascii="??_GB2312" w:eastAsia="Times New Roman"/>
          <w:sz w:val="28"/>
          <w:szCs w:val="28"/>
        </w:rPr>
        <w:t>篇，承担</w:t>
      </w:r>
      <w:r>
        <w:rPr>
          <w:rFonts w:ascii="??_GB2312" w:eastAsia="Times New Roman"/>
          <w:sz w:val="28"/>
          <w:szCs w:val="28"/>
        </w:rPr>
        <w:t>5</w:t>
      </w:r>
      <w:r>
        <w:rPr>
          <w:rFonts w:ascii="??_GB2312" w:eastAsia="Times New Roman"/>
          <w:sz w:val="28"/>
          <w:szCs w:val="28"/>
        </w:rPr>
        <w:t>项省级课题，举办讲座</w:t>
      </w:r>
      <w:r w:rsidR="00B935EC" w:rsidRPr="001D132D">
        <w:rPr>
          <w:rFonts w:ascii="??_GB2312" w:hint="eastAsia"/>
          <w:sz w:val="28"/>
          <w:szCs w:val="28"/>
        </w:rPr>
        <w:t>若干</w:t>
      </w:r>
      <w:r>
        <w:rPr>
          <w:rFonts w:ascii="??_GB2312" w:eastAsia="Times New Roman"/>
          <w:sz w:val="28"/>
          <w:szCs w:val="28"/>
        </w:rPr>
        <w:t>。</w:t>
      </w:r>
    </w:p>
    <w:p w14:paraId="339DE6A1"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4.</w:t>
      </w:r>
      <w:r>
        <w:rPr>
          <w:rFonts w:ascii="??_GB2312" w:eastAsia="Times New Roman"/>
          <w:b/>
          <w:bCs/>
          <w:sz w:val="28"/>
          <w:szCs w:val="28"/>
        </w:rPr>
        <w:t>教学科研支撑</w:t>
      </w:r>
    </w:p>
    <w:p w14:paraId="4BA57BA8" w14:textId="24ACA0B6" w:rsidR="00E079F0" w:rsidRDefault="007125C4" w:rsidP="0010113C">
      <w:pPr>
        <w:spacing w:line="400" w:lineRule="exact"/>
        <w:ind w:firstLineChars="200" w:firstLine="560"/>
        <w:rPr>
          <w:rFonts w:ascii="??_GB2312"/>
          <w:sz w:val="28"/>
          <w:szCs w:val="28"/>
        </w:rPr>
      </w:pPr>
      <w:r>
        <w:rPr>
          <w:rFonts w:ascii="宋体" w:hAnsi="宋体" w:cs="宋体" w:hint="eastAsia"/>
          <w:sz w:val="28"/>
          <w:szCs w:val="28"/>
        </w:rPr>
        <w:t>在硬件方面，学位点</w:t>
      </w:r>
      <w:r w:rsidR="00E079F0">
        <w:rPr>
          <w:rFonts w:ascii="??_GB2312" w:eastAsia="Times New Roman"/>
          <w:sz w:val="28"/>
          <w:szCs w:val="28"/>
        </w:rPr>
        <w:t>拥有专门的案例教学教研室，鼓励任课教师进行案例教学，积极组织</w:t>
      </w:r>
      <w:r w:rsidR="00E079F0">
        <w:rPr>
          <w:rFonts w:ascii="??_GB2312" w:eastAsia="Times New Roman"/>
          <w:sz w:val="28"/>
          <w:szCs w:val="28"/>
        </w:rPr>
        <w:t>MPAcc</w:t>
      </w:r>
      <w:r w:rsidR="00E079F0">
        <w:rPr>
          <w:rFonts w:ascii="??_GB2312" w:eastAsia="Times New Roman"/>
          <w:sz w:val="28"/>
          <w:szCs w:val="28"/>
        </w:rPr>
        <w:t>学生参加案例大赛，学位点自己举办了第一届</w:t>
      </w:r>
      <w:r w:rsidR="00E079F0">
        <w:rPr>
          <w:rFonts w:ascii="??_GB2312" w:eastAsia="Times New Roman"/>
          <w:sz w:val="28"/>
          <w:szCs w:val="28"/>
        </w:rPr>
        <w:t>“</w:t>
      </w:r>
      <w:r>
        <w:rPr>
          <w:rFonts w:ascii="宋体" w:hAnsi="宋体" w:cs="宋体" w:hint="eastAsia"/>
          <w:sz w:val="28"/>
          <w:szCs w:val="28"/>
        </w:rPr>
        <w:t>书</w:t>
      </w:r>
      <w:r w:rsidR="00E079F0">
        <w:rPr>
          <w:rFonts w:ascii="??_GB2312" w:eastAsia="Times New Roman"/>
          <w:sz w:val="28"/>
          <w:szCs w:val="28"/>
        </w:rPr>
        <w:t>云杯</w:t>
      </w:r>
      <w:r w:rsidR="00E079F0">
        <w:rPr>
          <w:rFonts w:ascii="??_GB2312" w:eastAsia="Times New Roman"/>
          <w:sz w:val="28"/>
          <w:szCs w:val="28"/>
        </w:rPr>
        <w:t>”</w:t>
      </w:r>
      <w:r w:rsidR="00E079F0">
        <w:rPr>
          <w:rFonts w:ascii="??_GB2312" w:eastAsia="Times New Roman"/>
          <w:sz w:val="28"/>
          <w:szCs w:val="28"/>
        </w:rPr>
        <w:t>MPAcc</w:t>
      </w:r>
      <w:r w:rsidR="00E079F0">
        <w:rPr>
          <w:rFonts w:ascii="??_GB2312" w:eastAsia="Times New Roman"/>
          <w:sz w:val="28"/>
          <w:szCs w:val="28"/>
        </w:rPr>
        <w:t>案例大赛，并为获奖学生颁发了奖金。</w:t>
      </w:r>
      <w:r w:rsidR="00B6722E">
        <w:rPr>
          <w:rFonts w:ascii="宋体" w:hAnsi="宋体" w:cs="宋体" w:hint="eastAsia"/>
          <w:sz w:val="28"/>
          <w:szCs w:val="28"/>
        </w:rPr>
        <w:t>在软件方面，学位点</w:t>
      </w:r>
      <w:r w:rsidR="00B6722E" w:rsidRPr="00B6722E">
        <w:rPr>
          <w:rFonts w:ascii="宋体" w:hAnsi="宋体" w:cs="宋体" w:hint="eastAsia"/>
          <w:sz w:val="28"/>
          <w:szCs w:val="28"/>
        </w:rPr>
        <w:t>与会计软件公司或行业合作伙伴合作，以提供学生对最新软件工具和技术的培训和资源。</w:t>
      </w:r>
    </w:p>
    <w:p w14:paraId="2685AA12"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5.</w:t>
      </w:r>
      <w:r>
        <w:rPr>
          <w:rFonts w:ascii="??_GB2312" w:eastAsia="Times New Roman"/>
          <w:b/>
          <w:bCs/>
          <w:sz w:val="28"/>
          <w:szCs w:val="28"/>
        </w:rPr>
        <w:t>资助体系</w:t>
      </w:r>
    </w:p>
    <w:p w14:paraId="70DA4203" w14:textId="2A54D58D" w:rsidR="00E079F0" w:rsidRDefault="00E079F0" w:rsidP="0010113C">
      <w:pPr>
        <w:spacing w:line="400" w:lineRule="exact"/>
        <w:ind w:firstLineChars="200" w:firstLine="560"/>
        <w:rPr>
          <w:rFonts w:ascii="??_GB2312"/>
          <w:sz w:val="28"/>
          <w:szCs w:val="28"/>
        </w:rPr>
      </w:pPr>
      <w:r>
        <w:rPr>
          <w:rFonts w:ascii="??_GB2312" w:eastAsia="Times New Roman"/>
          <w:sz w:val="28"/>
          <w:szCs w:val="28"/>
        </w:rPr>
        <w:t>拥有较为完备的资助体系，制度健全，奖助水平高，覆盖面广，包括学业奖学金、国家助学金、国家奖学金以及助管、助教、助研奖学金。</w:t>
      </w:r>
      <w:r>
        <w:rPr>
          <w:rFonts w:ascii="??_GB2312" w:eastAsia="Times New Roman"/>
          <w:sz w:val="28"/>
          <w:szCs w:val="28"/>
        </w:rPr>
        <w:t>2021</w:t>
      </w:r>
      <w:r>
        <w:rPr>
          <w:rFonts w:ascii="??_GB2312" w:eastAsia="Times New Roman"/>
          <w:sz w:val="28"/>
          <w:szCs w:val="28"/>
        </w:rPr>
        <w:t>年，学业奖学金资助</w:t>
      </w:r>
      <w:r>
        <w:rPr>
          <w:rFonts w:ascii="??_GB2312" w:eastAsia="Times New Roman"/>
          <w:sz w:val="28"/>
          <w:szCs w:val="28"/>
        </w:rPr>
        <w:t>55</w:t>
      </w:r>
      <w:r>
        <w:rPr>
          <w:rFonts w:ascii="??_GB2312" w:eastAsia="Times New Roman"/>
          <w:sz w:val="28"/>
          <w:szCs w:val="28"/>
        </w:rPr>
        <w:t>人，金额</w:t>
      </w:r>
      <w:r>
        <w:rPr>
          <w:rFonts w:ascii="??_GB2312" w:eastAsia="Times New Roman"/>
          <w:sz w:val="28"/>
          <w:szCs w:val="28"/>
        </w:rPr>
        <w:t>29</w:t>
      </w:r>
      <w:r>
        <w:rPr>
          <w:rFonts w:ascii="??_GB2312"/>
          <w:sz w:val="28"/>
          <w:szCs w:val="28"/>
        </w:rPr>
        <w:t>.</w:t>
      </w:r>
      <w:r>
        <w:rPr>
          <w:rFonts w:ascii="??_GB2312" w:eastAsia="Times New Roman"/>
          <w:sz w:val="28"/>
          <w:szCs w:val="28"/>
        </w:rPr>
        <w:t>4</w:t>
      </w:r>
      <w:r>
        <w:rPr>
          <w:rFonts w:ascii="??_GB2312" w:eastAsia="Times New Roman"/>
          <w:sz w:val="28"/>
          <w:szCs w:val="28"/>
        </w:rPr>
        <w:t>万元；国家助学金资助</w:t>
      </w:r>
      <w:r>
        <w:rPr>
          <w:rFonts w:ascii="??_GB2312" w:eastAsia="Times New Roman"/>
          <w:sz w:val="28"/>
          <w:szCs w:val="28"/>
        </w:rPr>
        <w:t>1</w:t>
      </w:r>
      <w:r w:rsidR="00B935EC">
        <w:rPr>
          <w:rFonts w:ascii="??_GB2312" w:eastAsia="Times New Roman"/>
          <w:sz w:val="28"/>
          <w:szCs w:val="28"/>
        </w:rPr>
        <w:t>36</w:t>
      </w:r>
      <w:r>
        <w:rPr>
          <w:rFonts w:ascii="??_GB2312" w:eastAsia="Times New Roman"/>
          <w:sz w:val="28"/>
          <w:szCs w:val="28"/>
        </w:rPr>
        <w:t>人，金额</w:t>
      </w:r>
      <w:r>
        <w:rPr>
          <w:rFonts w:ascii="??_GB2312" w:eastAsia="Times New Roman"/>
          <w:sz w:val="28"/>
          <w:szCs w:val="28"/>
        </w:rPr>
        <w:t>6</w:t>
      </w:r>
      <w:r w:rsidR="00B935EC">
        <w:rPr>
          <w:rFonts w:ascii="??_GB2312" w:eastAsia="Times New Roman"/>
          <w:sz w:val="28"/>
          <w:szCs w:val="28"/>
        </w:rPr>
        <w:t>6.9</w:t>
      </w:r>
      <w:r>
        <w:rPr>
          <w:rFonts w:ascii="??_GB2312" w:eastAsia="Times New Roman"/>
          <w:sz w:val="28"/>
          <w:szCs w:val="28"/>
        </w:rPr>
        <w:t>万元；国家奖学金资助</w:t>
      </w:r>
      <w:r>
        <w:rPr>
          <w:rFonts w:ascii="??_GB2312" w:eastAsia="Times New Roman"/>
          <w:sz w:val="28"/>
          <w:szCs w:val="28"/>
        </w:rPr>
        <w:t>2</w:t>
      </w:r>
      <w:r>
        <w:rPr>
          <w:rFonts w:ascii="??_GB2312" w:eastAsia="Times New Roman"/>
          <w:sz w:val="28"/>
          <w:szCs w:val="28"/>
        </w:rPr>
        <w:t>人，金额</w:t>
      </w:r>
      <w:r>
        <w:rPr>
          <w:rFonts w:ascii="??_GB2312" w:eastAsia="Times New Roman"/>
          <w:sz w:val="28"/>
          <w:szCs w:val="28"/>
        </w:rPr>
        <w:t>4</w:t>
      </w:r>
      <w:r>
        <w:rPr>
          <w:rFonts w:ascii="??_GB2312" w:eastAsia="Times New Roman"/>
          <w:sz w:val="28"/>
          <w:szCs w:val="28"/>
        </w:rPr>
        <w:t>万元。资助体系能够有效确保学生完成学业。</w:t>
      </w:r>
    </w:p>
    <w:p w14:paraId="00236641" w14:textId="77777777" w:rsidR="00E079F0" w:rsidRDefault="00E079F0" w:rsidP="0010113C">
      <w:pPr>
        <w:numPr>
          <w:ilvl w:val="0"/>
          <w:numId w:val="2"/>
        </w:numPr>
        <w:spacing w:line="360" w:lineRule="auto"/>
        <w:ind w:firstLineChars="200" w:firstLine="562"/>
        <w:rPr>
          <w:rFonts w:ascii="??_GB2312"/>
          <w:b/>
          <w:bCs/>
          <w:sz w:val="28"/>
          <w:szCs w:val="28"/>
        </w:rPr>
      </w:pPr>
      <w:r>
        <w:rPr>
          <w:rFonts w:ascii="??_GB2312" w:eastAsia="Times New Roman"/>
          <w:b/>
          <w:bCs/>
          <w:sz w:val="28"/>
          <w:szCs w:val="28"/>
        </w:rPr>
        <w:t>人才培养</w:t>
      </w:r>
    </w:p>
    <w:p w14:paraId="69167426"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1.</w:t>
      </w:r>
      <w:r>
        <w:rPr>
          <w:rFonts w:ascii="??_GB2312" w:eastAsia="Times New Roman"/>
          <w:b/>
          <w:bCs/>
          <w:sz w:val="28"/>
          <w:szCs w:val="28"/>
        </w:rPr>
        <w:t>招生选拨</w:t>
      </w:r>
    </w:p>
    <w:p w14:paraId="1D72B9EA" w14:textId="531A8835" w:rsidR="00E079F0" w:rsidRDefault="0070222A" w:rsidP="0010113C">
      <w:pPr>
        <w:spacing w:line="400" w:lineRule="exact"/>
        <w:ind w:firstLineChars="200" w:firstLine="560"/>
        <w:rPr>
          <w:rFonts w:ascii="??_GB2312"/>
          <w:sz w:val="28"/>
          <w:szCs w:val="28"/>
        </w:rPr>
      </w:pPr>
      <w:r w:rsidRPr="0070222A">
        <w:rPr>
          <w:rFonts w:ascii="宋体" w:hAnsi="宋体" w:cs="宋体" w:hint="eastAsia"/>
          <w:sz w:val="28"/>
          <w:szCs w:val="28"/>
        </w:rPr>
        <w:t>申请会计专硕的学生需要具有相关领域的学士学位，通常是会计或相关领域</w:t>
      </w:r>
      <w:r>
        <w:rPr>
          <w:rFonts w:ascii="宋体" w:hAnsi="宋体" w:cs="宋体" w:hint="eastAsia"/>
          <w:sz w:val="28"/>
          <w:szCs w:val="28"/>
        </w:rPr>
        <w:t>。通过参加全国研究生考试，根据山西师范大学《研究生</w:t>
      </w:r>
      <w:r w:rsidRPr="0070222A">
        <w:rPr>
          <w:rFonts w:ascii="宋体" w:hAnsi="宋体" w:cs="宋体" w:hint="eastAsia"/>
          <w:sz w:val="28"/>
          <w:szCs w:val="28"/>
        </w:rPr>
        <w:t>会计硕士（MPAcc）招生简章</w:t>
      </w:r>
      <w:r>
        <w:rPr>
          <w:rFonts w:ascii="宋体" w:hAnsi="宋体" w:cs="宋体" w:hint="eastAsia"/>
          <w:sz w:val="28"/>
          <w:szCs w:val="28"/>
        </w:rPr>
        <w:t>》严格选拔符合条件的学生。</w:t>
      </w:r>
    </w:p>
    <w:p w14:paraId="5552FB48"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2.</w:t>
      </w:r>
      <w:r>
        <w:rPr>
          <w:rFonts w:ascii="??_GB2312" w:eastAsia="Times New Roman"/>
          <w:b/>
          <w:bCs/>
          <w:sz w:val="28"/>
          <w:szCs w:val="28"/>
        </w:rPr>
        <w:t>思政教育</w:t>
      </w:r>
    </w:p>
    <w:p w14:paraId="6B7ED89D" w14:textId="77777777" w:rsidR="00E079F0" w:rsidRDefault="00E079F0" w:rsidP="0010113C">
      <w:pPr>
        <w:spacing w:line="400" w:lineRule="exact"/>
        <w:ind w:firstLineChars="200" w:firstLine="560"/>
      </w:pPr>
      <w:r>
        <w:rPr>
          <w:rFonts w:ascii="??_GB2312" w:eastAsia="Times New Roman"/>
          <w:sz w:val="28"/>
          <w:szCs w:val="28"/>
        </w:rPr>
        <w:t>认真学习和执行山西师范大学《全面落实研究生导师立德树人职责实施方案（试行）》文件。构建了院领导顶层设计，专业课教师为主体，专职辅导员为效果反馈人的思政教育领导机制和工作机制；明确了思政教育的组织者、管理者、落实者和效果反馈者；形成了责任明确、各司其责的闭环思政教育管理长效机制。主要通过课程思政工</w:t>
      </w:r>
      <w:r>
        <w:rPr>
          <w:rFonts w:ascii="??_GB2312" w:eastAsia="Times New Roman"/>
          <w:sz w:val="28"/>
          <w:szCs w:val="28"/>
        </w:rPr>
        <w:lastRenderedPageBreak/>
        <w:t>程、德育强化工程、实地考察学习等形式开展思政教育，并取得了较好的机制成效、立德成效和育人成效。</w:t>
      </w:r>
    </w:p>
    <w:p w14:paraId="7C48E89B"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3.</w:t>
      </w:r>
      <w:r>
        <w:rPr>
          <w:rFonts w:ascii="??_GB2312" w:eastAsia="Times New Roman"/>
          <w:b/>
          <w:bCs/>
          <w:sz w:val="28"/>
          <w:szCs w:val="28"/>
        </w:rPr>
        <w:t>课程教学</w:t>
      </w:r>
    </w:p>
    <w:p w14:paraId="14107FF7" w14:textId="475B5F24" w:rsidR="00E079F0" w:rsidRDefault="00980083" w:rsidP="0010113C">
      <w:pPr>
        <w:spacing w:line="400" w:lineRule="exact"/>
        <w:ind w:firstLineChars="200" w:firstLine="560"/>
        <w:rPr>
          <w:rFonts w:ascii="??_GB2312"/>
          <w:sz w:val="28"/>
          <w:szCs w:val="28"/>
        </w:rPr>
      </w:pPr>
      <w:r>
        <w:rPr>
          <w:rFonts w:ascii="宋体" w:hAnsi="宋体" w:cs="宋体" w:hint="eastAsia"/>
          <w:sz w:val="28"/>
          <w:szCs w:val="28"/>
        </w:rPr>
        <w:t>学位点</w:t>
      </w:r>
      <w:r w:rsidR="00E079F0">
        <w:rPr>
          <w:rFonts w:ascii="??_GB2312" w:eastAsia="Times New Roman"/>
          <w:sz w:val="28"/>
          <w:szCs w:val="28"/>
        </w:rPr>
        <w:t>拥有科学系统的研究生培养方案，并适时进行修订；各核心课程均配备两名优秀教师；持续推进课程教学改革，要求教师采用案例教学方法进行教学；有明确的教学规章制度，能够及时收集专业硕士研究生对课程教学的反馈信息，并及时做出反馈。</w:t>
      </w:r>
      <w:r>
        <w:rPr>
          <w:rFonts w:ascii="宋体" w:hAnsi="宋体" w:cs="宋体" w:hint="eastAsia"/>
          <w:sz w:val="28"/>
          <w:szCs w:val="28"/>
        </w:rPr>
        <w:t>学位点注重</w:t>
      </w:r>
      <w:r w:rsidRPr="00980083">
        <w:rPr>
          <w:rFonts w:ascii="宋体" w:hAnsi="宋体" w:cs="宋体" w:hint="eastAsia"/>
          <w:sz w:val="28"/>
          <w:szCs w:val="28"/>
        </w:rPr>
        <w:t>采用多样化的教学方法，以满足不同类型学生的需求</w:t>
      </w:r>
      <w:r>
        <w:rPr>
          <w:rFonts w:ascii="宋体" w:hAnsi="宋体" w:cs="宋体" w:hint="eastAsia"/>
          <w:sz w:val="28"/>
          <w:szCs w:val="28"/>
        </w:rPr>
        <w:t>，学生可以</w:t>
      </w:r>
      <w:r w:rsidRPr="00980083">
        <w:rPr>
          <w:rFonts w:ascii="宋体" w:hAnsi="宋体" w:cs="宋体" w:hint="eastAsia"/>
          <w:sz w:val="28"/>
          <w:szCs w:val="28"/>
        </w:rPr>
        <w:t>利用案例分析、团队</w:t>
      </w:r>
      <w:r>
        <w:rPr>
          <w:rFonts w:ascii="宋体" w:hAnsi="宋体" w:cs="宋体" w:hint="eastAsia"/>
          <w:sz w:val="28"/>
          <w:szCs w:val="28"/>
        </w:rPr>
        <w:t>竞赛</w:t>
      </w:r>
      <w:r w:rsidRPr="00980083">
        <w:rPr>
          <w:rFonts w:ascii="宋体" w:hAnsi="宋体" w:cs="宋体" w:hint="eastAsia"/>
          <w:sz w:val="28"/>
          <w:szCs w:val="28"/>
        </w:rPr>
        <w:t>项目、实际业务模拟等方法来激发</w:t>
      </w:r>
      <w:r>
        <w:rPr>
          <w:rFonts w:ascii="宋体" w:hAnsi="宋体" w:cs="宋体" w:hint="eastAsia"/>
          <w:sz w:val="28"/>
          <w:szCs w:val="28"/>
        </w:rPr>
        <w:t>对</w:t>
      </w:r>
      <w:r w:rsidRPr="00980083">
        <w:rPr>
          <w:rFonts w:ascii="宋体" w:hAnsi="宋体" w:cs="宋体" w:hint="eastAsia"/>
          <w:sz w:val="28"/>
          <w:szCs w:val="28"/>
        </w:rPr>
        <w:t>学习</w:t>
      </w:r>
      <w:r>
        <w:rPr>
          <w:rFonts w:ascii="宋体" w:hAnsi="宋体" w:cs="宋体" w:hint="eastAsia"/>
          <w:sz w:val="28"/>
          <w:szCs w:val="28"/>
        </w:rPr>
        <w:t>的</w:t>
      </w:r>
      <w:r w:rsidRPr="00980083">
        <w:rPr>
          <w:rFonts w:ascii="宋体" w:hAnsi="宋体" w:cs="宋体" w:hint="eastAsia"/>
          <w:sz w:val="28"/>
          <w:szCs w:val="28"/>
        </w:rPr>
        <w:t>兴趣。</w:t>
      </w:r>
      <w:r>
        <w:rPr>
          <w:rFonts w:ascii="宋体" w:hAnsi="宋体" w:cs="宋体" w:hint="eastAsia"/>
          <w:sz w:val="28"/>
          <w:szCs w:val="28"/>
        </w:rPr>
        <w:t>各课</w:t>
      </w:r>
      <w:r w:rsidRPr="00980083">
        <w:rPr>
          <w:rFonts w:ascii="宋体" w:hAnsi="宋体" w:cs="宋体" w:hint="eastAsia"/>
          <w:sz w:val="28"/>
          <w:szCs w:val="28"/>
        </w:rPr>
        <w:t>程注重实际应用，包括案例分析、项目管理、模拟演练等</w:t>
      </w:r>
      <w:r>
        <w:rPr>
          <w:rFonts w:ascii="宋体" w:hAnsi="宋体" w:cs="宋体" w:hint="eastAsia"/>
          <w:sz w:val="28"/>
          <w:szCs w:val="28"/>
        </w:rPr>
        <w:t>，</w:t>
      </w:r>
      <w:r w:rsidRPr="00980083">
        <w:rPr>
          <w:rFonts w:ascii="宋体" w:hAnsi="宋体" w:cs="宋体" w:hint="eastAsia"/>
          <w:sz w:val="28"/>
          <w:szCs w:val="28"/>
        </w:rPr>
        <w:t>学生将应用所学的知识来解决真实的会计问题，培养解决问题的能力。课程包括伦理和法律方面的内容，强调会计职业的道德和法规要求。</w:t>
      </w:r>
    </w:p>
    <w:p w14:paraId="5809F1BC"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4.</w:t>
      </w:r>
      <w:r>
        <w:rPr>
          <w:rFonts w:ascii="??_GB2312" w:eastAsia="Times New Roman"/>
          <w:b/>
          <w:bCs/>
          <w:sz w:val="28"/>
          <w:szCs w:val="28"/>
        </w:rPr>
        <w:t>导师指导</w:t>
      </w:r>
    </w:p>
    <w:p w14:paraId="15636085" w14:textId="4E455F06" w:rsidR="008F1AEE" w:rsidRDefault="00E079F0" w:rsidP="008F1AEE">
      <w:pPr>
        <w:spacing w:line="400" w:lineRule="exact"/>
        <w:ind w:firstLineChars="200" w:firstLine="560"/>
        <w:rPr>
          <w:rFonts w:ascii="宋体" w:hAnsi="宋体" w:cs="宋体"/>
          <w:sz w:val="28"/>
          <w:szCs w:val="28"/>
        </w:rPr>
      </w:pPr>
      <w:r>
        <w:rPr>
          <w:rFonts w:ascii="??_GB2312" w:eastAsia="Times New Roman"/>
          <w:sz w:val="28"/>
          <w:szCs w:val="28"/>
        </w:rPr>
        <w:t>2021</w:t>
      </w:r>
      <w:r>
        <w:rPr>
          <w:rFonts w:ascii="??_GB2312" w:eastAsia="Times New Roman"/>
          <w:sz w:val="28"/>
          <w:szCs w:val="28"/>
        </w:rPr>
        <w:t>年导师</w:t>
      </w:r>
      <w:r>
        <w:rPr>
          <w:rFonts w:ascii="??_GB2312" w:eastAsia="Times New Roman"/>
          <w:sz w:val="28"/>
          <w:szCs w:val="28"/>
        </w:rPr>
        <w:t>16</w:t>
      </w:r>
      <w:r>
        <w:rPr>
          <w:rFonts w:ascii="??_GB2312" w:eastAsia="Times New Roman"/>
          <w:sz w:val="28"/>
          <w:szCs w:val="28"/>
        </w:rPr>
        <w:t>人，生师比为</w:t>
      </w:r>
      <w:r>
        <w:rPr>
          <w:rFonts w:ascii="??_GB2312" w:eastAsia="Times New Roman"/>
          <w:sz w:val="28"/>
          <w:szCs w:val="28"/>
        </w:rPr>
        <w:t>3.125</w:t>
      </w:r>
      <w:r>
        <w:rPr>
          <w:rFonts w:ascii="??_GB2312" w:eastAsia="Times New Roman"/>
          <w:sz w:val="28"/>
          <w:szCs w:val="28"/>
        </w:rPr>
        <w:t>，较为合理；拥有明确与较为完善的导师选聘、培训及考核制度，且制度执行良好；</w:t>
      </w:r>
      <w:r w:rsidR="00B935EC" w:rsidRPr="001D132D">
        <w:rPr>
          <w:rFonts w:ascii="??_GB2312" w:hint="eastAsia"/>
          <w:sz w:val="28"/>
          <w:szCs w:val="28"/>
        </w:rPr>
        <w:t>新增若干</w:t>
      </w:r>
      <w:r>
        <w:rPr>
          <w:rFonts w:ascii="??_GB2312" w:eastAsia="Times New Roman"/>
          <w:sz w:val="28"/>
          <w:szCs w:val="28"/>
        </w:rPr>
        <w:t>名行业导师，双师型导师队伍建设良好。</w:t>
      </w:r>
    </w:p>
    <w:p w14:paraId="108B8C52" w14:textId="5376EC9A" w:rsidR="00E079F0" w:rsidRPr="008F1AEE" w:rsidRDefault="008F1AEE" w:rsidP="008F1AEE">
      <w:pPr>
        <w:spacing w:line="400" w:lineRule="exact"/>
        <w:ind w:firstLineChars="200" w:firstLine="560"/>
        <w:rPr>
          <w:rFonts w:ascii="宋体" w:hAnsi="宋体" w:cs="宋体"/>
          <w:sz w:val="28"/>
          <w:szCs w:val="28"/>
        </w:rPr>
      </w:pPr>
      <w:r w:rsidRPr="008F1AEE">
        <w:rPr>
          <w:rFonts w:ascii="宋体" w:hAnsi="宋体" w:cs="宋体" w:hint="eastAsia"/>
          <w:sz w:val="28"/>
          <w:szCs w:val="28"/>
        </w:rPr>
        <w:t>导师</w:t>
      </w:r>
      <w:r>
        <w:rPr>
          <w:rFonts w:ascii="宋体" w:hAnsi="宋体" w:cs="宋体" w:hint="eastAsia"/>
          <w:sz w:val="28"/>
          <w:szCs w:val="28"/>
        </w:rPr>
        <w:t>在多个方面</w:t>
      </w:r>
      <w:r w:rsidR="00654206">
        <w:rPr>
          <w:rFonts w:ascii="宋体" w:hAnsi="宋体" w:cs="宋体" w:hint="eastAsia"/>
          <w:sz w:val="28"/>
          <w:szCs w:val="28"/>
        </w:rPr>
        <w:t>持续</w:t>
      </w:r>
      <w:r>
        <w:rPr>
          <w:rFonts w:ascii="宋体" w:hAnsi="宋体" w:cs="宋体" w:hint="eastAsia"/>
          <w:sz w:val="28"/>
          <w:szCs w:val="28"/>
        </w:rPr>
        <w:t>发挥作用：</w:t>
      </w:r>
      <w:r w:rsidRPr="008F1AEE">
        <w:rPr>
          <w:rFonts w:ascii="宋体" w:hAnsi="宋体" w:cs="宋体" w:hint="eastAsia"/>
          <w:sz w:val="28"/>
          <w:szCs w:val="28"/>
        </w:rPr>
        <w:t>帮助学生明确研究方向和学术兴趣，引导他们选择合适的课程和研究项目，以确保他们在学术领域取得成功</w:t>
      </w:r>
      <w:r>
        <w:rPr>
          <w:rFonts w:ascii="宋体" w:hAnsi="宋体" w:cs="宋体" w:hint="eastAsia"/>
          <w:sz w:val="28"/>
          <w:szCs w:val="28"/>
        </w:rPr>
        <w:t>；</w:t>
      </w:r>
      <w:r w:rsidRPr="008F1AEE">
        <w:rPr>
          <w:rFonts w:ascii="宋体" w:hAnsi="宋体" w:cs="宋体" w:hint="eastAsia"/>
          <w:sz w:val="28"/>
          <w:szCs w:val="28"/>
        </w:rPr>
        <w:t>提供有关研究方法、文献综述、数据分析和实验设计的专业指导。这有助于学生开展独立研究，并取得实质性的研究成果</w:t>
      </w:r>
      <w:r>
        <w:rPr>
          <w:rFonts w:ascii="宋体" w:hAnsi="宋体" w:cs="宋体" w:hint="eastAsia"/>
          <w:sz w:val="28"/>
          <w:szCs w:val="28"/>
        </w:rPr>
        <w:t>；</w:t>
      </w:r>
      <w:r w:rsidRPr="008F1AEE">
        <w:rPr>
          <w:rFonts w:ascii="宋体" w:hAnsi="宋体" w:cs="宋体" w:hint="eastAsia"/>
          <w:sz w:val="28"/>
          <w:szCs w:val="28"/>
        </w:rPr>
        <w:t>导师在毕业论文的选题和完成过程中扮演关键角色。他们提供建议、审查论文草稿，并确保</w:t>
      </w:r>
      <w:r>
        <w:rPr>
          <w:rFonts w:ascii="宋体" w:hAnsi="宋体" w:cs="宋体" w:hint="eastAsia"/>
          <w:sz w:val="28"/>
          <w:szCs w:val="28"/>
        </w:rPr>
        <w:t>学生论文</w:t>
      </w:r>
      <w:r w:rsidRPr="008F1AEE">
        <w:rPr>
          <w:rFonts w:ascii="宋体" w:hAnsi="宋体" w:cs="宋体" w:hint="eastAsia"/>
          <w:sz w:val="28"/>
          <w:szCs w:val="28"/>
        </w:rPr>
        <w:t>质量</w:t>
      </w:r>
      <w:r>
        <w:rPr>
          <w:rFonts w:ascii="宋体" w:hAnsi="宋体" w:cs="宋体" w:hint="eastAsia"/>
          <w:sz w:val="28"/>
          <w:szCs w:val="28"/>
        </w:rPr>
        <w:t>；</w:t>
      </w:r>
      <w:r w:rsidRPr="008F1AEE">
        <w:rPr>
          <w:rFonts w:ascii="宋体" w:hAnsi="宋体" w:cs="宋体" w:hint="eastAsia"/>
          <w:sz w:val="28"/>
          <w:szCs w:val="28"/>
        </w:rPr>
        <w:t>导师为学生提供关于职业规划、实习和就业机会的建议</w:t>
      </w:r>
      <w:r>
        <w:rPr>
          <w:rFonts w:ascii="宋体" w:hAnsi="宋体" w:cs="宋体" w:hint="eastAsia"/>
          <w:sz w:val="28"/>
          <w:szCs w:val="28"/>
        </w:rPr>
        <w:t>并有机会</w:t>
      </w:r>
      <w:r w:rsidRPr="008F1AEE">
        <w:rPr>
          <w:rFonts w:ascii="宋体" w:hAnsi="宋体" w:cs="宋体" w:hint="eastAsia"/>
          <w:sz w:val="28"/>
          <w:szCs w:val="28"/>
        </w:rPr>
        <w:t>介绍学生</w:t>
      </w:r>
      <w:r>
        <w:rPr>
          <w:rFonts w:ascii="宋体" w:hAnsi="宋体" w:cs="宋体" w:hint="eastAsia"/>
          <w:sz w:val="28"/>
          <w:szCs w:val="28"/>
        </w:rPr>
        <w:t>认识</w:t>
      </w:r>
      <w:r w:rsidRPr="008F1AEE">
        <w:rPr>
          <w:rFonts w:ascii="宋体" w:hAnsi="宋体" w:cs="宋体" w:hint="eastAsia"/>
          <w:sz w:val="28"/>
          <w:szCs w:val="28"/>
        </w:rPr>
        <w:t>到行业内的专业人士，</w:t>
      </w:r>
      <w:r>
        <w:rPr>
          <w:rFonts w:ascii="宋体" w:hAnsi="宋体" w:cs="宋体" w:hint="eastAsia"/>
          <w:sz w:val="28"/>
          <w:szCs w:val="28"/>
        </w:rPr>
        <w:t>以</w:t>
      </w:r>
      <w:r w:rsidRPr="008F1AEE">
        <w:rPr>
          <w:rFonts w:ascii="宋体" w:hAnsi="宋体" w:cs="宋体" w:hint="eastAsia"/>
          <w:sz w:val="28"/>
          <w:szCs w:val="28"/>
        </w:rPr>
        <w:t>扩大</w:t>
      </w:r>
      <w:r>
        <w:rPr>
          <w:rFonts w:ascii="宋体" w:hAnsi="宋体" w:cs="宋体" w:hint="eastAsia"/>
          <w:sz w:val="28"/>
          <w:szCs w:val="28"/>
        </w:rPr>
        <w:t>学生们</w:t>
      </w:r>
      <w:r w:rsidRPr="008F1AEE">
        <w:rPr>
          <w:rFonts w:ascii="宋体" w:hAnsi="宋体" w:cs="宋体" w:hint="eastAsia"/>
          <w:sz w:val="28"/>
          <w:szCs w:val="28"/>
        </w:rPr>
        <w:t>的职业网络</w:t>
      </w:r>
      <w:r>
        <w:rPr>
          <w:rFonts w:ascii="宋体" w:hAnsi="宋体" w:cs="宋体" w:hint="eastAsia"/>
          <w:sz w:val="28"/>
          <w:szCs w:val="28"/>
        </w:rPr>
        <w:t>；</w:t>
      </w:r>
      <w:r w:rsidRPr="008F1AEE">
        <w:rPr>
          <w:rFonts w:ascii="宋体" w:hAnsi="宋体" w:cs="宋体" w:hint="eastAsia"/>
          <w:sz w:val="28"/>
          <w:szCs w:val="28"/>
        </w:rPr>
        <w:t>导师提供反馈，帮助学生改进他们的学术工作和研究项目。这有助于学生不断提高自己的能力和成绩</w:t>
      </w:r>
      <w:r>
        <w:rPr>
          <w:rFonts w:ascii="宋体" w:hAnsi="宋体" w:cs="宋体" w:hint="eastAsia"/>
          <w:sz w:val="28"/>
          <w:szCs w:val="28"/>
        </w:rPr>
        <w:t>；</w:t>
      </w:r>
      <w:r w:rsidRPr="008F1AEE">
        <w:rPr>
          <w:rFonts w:ascii="宋体" w:hAnsi="宋体" w:cs="宋体" w:hint="eastAsia"/>
          <w:sz w:val="28"/>
          <w:szCs w:val="28"/>
        </w:rPr>
        <w:t>导师会根据学生的需求和目标提供个性化的指导</w:t>
      </w:r>
      <w:r>
        <w:rPr>
          <w:rFonts w:ascii="宋体" w:hAnsi="宋体" w:cs="宋体" w:hint="eastAsia"/>
          <w:sz w:val="28"/>
          <w:szCs w:val="28"/>
        </w:rPr>
        <w:t>，</w:t>
      </w:r>
      <w:r w:rsidRPr="008F1AEE">
        <w:rPr>
          <w:rFonts w:ascii="宋体" w:hAnsi="宋体" w:cs="宋体" w:hint="eastAsia"/>
          <w:sz w:val="28"/>
          <w:szCs w:val="28"/>
        </w:rPr>
        <w:t>帮助学生充分发展其独特的能力和兴趣。</w:t>
      </w:r>
    </w:p>
    <w:p w14:paraId="5492E328"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5.</w:t>
      </w:r>
      <w:r>
        <w:rPr>
          <w:rFonts w:ascii="??_GB2312" w:eastAsia="Times New Roman"/>
          <w:b/>
          <w:bCs/>
          <w:sz w:val="28"/>
          <w:szCs w:val="28"/>
        </w:rPr>
        <w:t>实践教学</w:t>
      </w:r>
    </w:p>
    <w:p w14:paraId="2221464E" w14:textId="504CFE5F" w:rsidR="00E079F0" w:rsidRDefault="00654206" w:rsidP="0010113C">
      <w:pPr>
        <w:spacing w:line="400" w:lineRule="exact"/>
        <w:ind w:firstLineChars="200" w:firstLine="560"/>
        <w:rPr>
          <w:rFonts w:ascii="??_GB2312"/>
          <w:sz w:val="28"/>
          <w:szCs w:val="28"/>
        </w:rPr>
      </w:pPr>
      <w:r>
        <w:rPr>
          <w:rFonts w:ascii="宋体" w:hAnsi="宋体" w:cs="宋体" w:hint="eastAsia"/>
          <w:sz w:val="28"/>
          <w:szCs w:val="28"/>
        </w:rPr>
        <w:t>学位点</w:t>
      </w:r>
      <w:r w:rsidR="00E079F0">
        <w:rPr>
          <w:rFonts w:ascii="??_GB2312" w:eastAsia="Times New Roman"/>
          <w:sz w:val="28"/>
          <w:szCs w:val="28"/>
        </w:rPr>
        <w:t>与</w:t>
      </w:r>
      <w:r>
        <w:rPr>
          <w:rFonts w:ascii="宋体" w:hAnsi="宋体" w:cs="宋体" w:hint="eastAsia"/>
          <w:sz w:val="28"/>
          <w:szCs w:val="28"/>
        </w:rPr>
        <w:t>省内</w:t>
      </w:r>
      <w:r w:rsidR="00F27BEC">
        <w:rPr>
          <w:rFonts w:ascii="宋体" w:hAnsi="宋体" w:cs="宋体" w:hint="eastAsia"/>
          <w:sz w:val="28"/>
          <w:szCs w:val="28"/>
        </w:rPr>
        <w:t>外</w:t>
      </w:r>
      <w:r w:rsidR="00E079F0">
        <w:rPr>
          <w:rFonts w:ascii="??_GB2312" w:eastAsia="Times New Roman"/>
          <w:sz w:val="28"/>
          <w:szCs w:val="28"/>
        </w:rPr>
        <w:t>20</w:t>
      </w:r>
      <w:r w:rsidR="00E079F0">
        <w:rPr>
          <w:rFonts w:ascii="??_GB2312" w:eastAsia="Times New Roman"/>
          <w:sz w:val="28"/>
          <w:szCs w:val="28"/>
        </w:rPr>
        <w:t>余家会计师事务所及财税企业签订了实习实训基地协议，</w:t>
      </w:r>
      <w:r w:rsidR="00F27BEC">
        <w:rPr>
          <w:rFonts w:ascii="宋体" w:hAnsi="宋体" w:cs="宋体" w:hint="eastAsia"/>
          <w:sz w:val="28"/>
          <w:szCs w:val="28"/>
        </w:rPr>
        <w:t>每年稳定输送学生进入到与专业匹配的实习岗位中去。学位点</w:t>
      </w:r>
      <w:r w:rsidR="00E079F0">
        <w:rPr>
          <w:rFonts w:ascii="??_GB2312" w:eastAsia="Times New Roman"/>
          <w:sz w:val="28"/>
          <w:szCs w:val="28"/>
        </w:rPr>
        <w:t>与山西省注册会计师协会</w:t>
      </w:r>
      <w:r w:rsidR="00F27BEC">
        <w:rPr>
          <w:rFonts w:ascii="宋体" w:hAnsi="宋体" w:cs="宋体" w:hint="eastAsia"/>
          <w:sz w:val="28"/>
          <w:szCs w:val="28"/>
        </w:rPr>
        <w:t>进行深入</w:t>
      </w:r>
      <w:r w:rsidR="00E079F0">
        <w:rPr>
          <w:rFonts w:ascii="??_GB2312" w:eastAsia="Times New Roman"/>
          <w:sz w:val="28"/>
          <w:szCs w:val="28"/>
        </w:rPr>
        <w:t>合作，建设了会计专硕研究生</w:t>
      </w:r>
      <w:r>
        <w:rPr>
          <w:rFonts w:ascii="宋体" w:hAnsi="宋体" w:cs="宋体" w:hint="eastAsia"/>
          <w:sz w:val="28"/>
          <w:szCs w:val="28"/>
        </w:rPr>
        <w:t>产</w:t>
      </w:r>
      <w:r w:rsidR="00E079F0">
        <w:rPr>
          <w:rFonts w:ascii="??_GB2312" w:eastAsia="Times New Roman"/>
          <w:sz w:val="28"/>
          <w:szCs w:val="28"/>
        </w:rPr>
        <w:t>教融合联合培养基地，且该基地获得省财政厅</w:t>
      </w:r>
      <w:r w:rsidR="00E079F0">
        <w:rPr>
          <w:rFonts w:ascii="??_GB2312" w:eastAsia="Times New Roman"/>
          <w:sz w:val="28"/>
          <w:szCs w:val="28"/>
        </w:rPr>
        <w:t>8</w:t>
      </w:r>
      <w:r w:rsidR="00E079F0">
        <w:rPr>
          <w:rFonts w:ascii="??_GB2312" w:eastAsia="Times New Roman"/>
          <w:sz w:val="28"/>
          <w:szCs w:val="28"/>
        </w:rPr>
        <w:t>万元的资助。在联合培养单位的协助下，举办了由</w:t>
      </w:r>
      <w:r w:rsidR="00E079F0">
        <w:rPr>
          <w:rFonts w:ascii="??_GB2312" w:eastAsia="Times New Roman"/>
          <w:sz w:val="28"/>
          <w:szCs w:val="28"/>
        </w:rPr>
        <w:t>29</w:t>
      </w:r>
      <w:r w:rsidR="00E079F0">
        <w:rPr>
          <w:rFonts w:ascii="??_GB2312" w:eastAsia="Times New Roman"/>
          <w:sz w:val="28"/>
          <w:szCs w:val="28"/>
        </w:rPr>
        <w:t>家会计师事务所及财税企业参</w:t>
      </w:r>
      <w:r w:rsidR="00E079F0">
        <w:rPr>
          <w:rFonts w:ascii="??_GB2312" w:eastAsia="Times New Roman"/>
          <w:sz w:val="28"/>
          <w:szCs w:val="28"/>
        </w:rPr>
        <w:lastRenderedPageBreak/>
        <w:t>加的线上双选会，联合培养运行良好，效果显著。学位点有较为充足的经费保证，除了培养经费，还有</w:t>
      </w:r>
      <w:r w:rsidR="00E079F0">
        <w:rPr>
          <w:rFonts w:ascii="??_GB2312" w:eastAsia="Times New Roman"/>
          <w:sz w:val="28"/>
          <w:szCs w:val="28"/>
        </w:rPr>
        <w:t>20</w:t>
      </w:r>
      <w:r w:rsidR="00E079F0">
        <w:rPr>
          <w:rFonts w:ascii="??_GB2312" w:eastAsia="Times New Roman"/>
          <w:sz w:val="28"/>
          <w:szCs w:val="28"/>
        </w:rPr>
        <w:t>余万专业建设经费。</w:t>
      </w:r>
    </w:p>
    <w:p w14:paraId="7192F0D4"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6.</w:t>
      </w:r>
      <w:r>
        <w:rPr>
          <w:rFonts w:ascii="??_GB2312" w:eastAsia="Times New Roman"/>
          <w:b/>
          <w:bCs/>
          <w:sz w:val="28"/>
          <w:szCs w:val="28"/>
        </w:rPr>
        <w:t>学术交流</w:t>
      </w:r>
    </w:p>
    <w:p w14:paraId="2D2DF4B2"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受疫情影响，会计专业硕士研究生主要通过线上形式参与国内的学术交流活动，内容涵盖学位论文写作与专业领域相关课题。</w:t>
      </w:r>
    </w:p>
    <w:p w14:paraId="571117EB"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7.</w:t>
      </w:r>
      <w:r>
        <w:rPr>
          <w:rFonts w:ascii="??_GB2312" w:eastAsia="Times New Roman"/>
          <w:b/>
          <w:bCs/>
          <w:sz w:val="28"/>
          <w:szCs w:val="28"/>
        </w:rPr>
        <w:t>论文质量</w:t>
      </w:r>
    </w:p>
    <w:p w14:paraId="45CF889C" w14:textId="331429C0" w:rsidR="00E079F0" w:rsidRDefault="00E079F0" w:rsidP="0010113C">
      <w:pPr>
        <w:spacing w:line="400" w:lineRule="exact"/>
        <w:ind w:firstLineChars="200" w:firstLine="560"/>
        <w:rPr>
          <w:rFonts w:ascii="??_GB2312"/>
          <w:sz w:val="28"/>
          <w:szCs w:val="28"/>
        </w:rPr>
      </w:pPr>
      <w:r>
        <w:rPr>
          <w:rFonts w:ascii="??_GB2312" w:eastAsia="Times New Roman"/>
          <w:sz w:val="28"/>
          <w:szCs w:val="28"/>
        </w:rPr>
        <w:t>拥有体现本专业学位特征的学位论文类型规范、评阅规则和核查办法。虽然本学位点目前尚未有毕业生，无法分析相关指标，但学位点非常重视学位论文质量，从开题到答辩有一整套</w:t>
      </w:r>
      <w:r w:rsidR="0057593B">
        <w:rPr>
          <w:rFonts w:ascii="宋体" w:hAnsi="宋体" w:cs="宋体" w:hint="eastAsia"/>
          <w:sz w:val="28"/>
          <w:szCs w:val="28"/>
        </w:rPr>
        <w:t>完整科学的</w:t>
      </w:r>
      <w:r>
        <w:rPr>
          <w:rFonts w:ascii="??_GB2312" w:eastAsia="Times New Roman"/>
          <w:sz w:val="28"/>
          <w:szCs w:val="28"/>
        </w:rPr>
        <w:t>执行流程。</w:t>
      </w:r>
    </w:p>
    <w:p w14:paraId="45B89446"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8.</w:t>
      </w:r>
      <w:r>
        <w:rPr>
          <w:rFonts w:ascii="??_GB2312" w:eastAsia="Times New Roman"/>
          <w:b/>
          <w:bCs/>
          <w:sz w:val="28"/>
          <w:szCs w:val="28"/>
        </w:rPr>
        <w:t>质量保证</w:t>
      </w:r>
    </w:p>
    <w:p w14:paraId="151439A3" w14:textId="6ED14BC3" w:rsidR="00E079F0" w:rsidRDefault="00E079F0" w:rsidP="0057593B">
      <w:pPr>
        <w:spacing w:line="400" w:lineRule="exact"/>
        <w:ind w:firstLineChars="200" w:firstLine="560"/>
        <w:rPr>
          <w:rFonts w:ascii="??_GB2312"/>
          <w:sz w:val="28"/>
          <w:szCs w:val="28"/>
        </w:rPr>
      </w:pPr>
      <w:r>
        <w:rPr>
          <w:rFonts w:ascii="??_GB2312" w:eastAsia="Times New Roman"/>
          <w:sz w:val="28"/>
          <w:szCs w:val="28"/>
        </w:rPr>
        <w:t>培养方案完整规范，从课程设置、选题、外审、专业实践到论文答辩均作了详细的规划；</w:t>
      </w:r>
      <w:r w:rsidR="0057593B" w:rsidRPr="0057593B">
        <w:rPr>
          <w:rFonts w:ascii="宋体" w:hAnsi="宋体" w:cs="宋体" w:hint="eastAsia"/>
          <w:sz w:val="28"/>
          <w:szCs w:val="28"/>
        </w:rPr>
        <w:t>每门课程制定详细的教学大纲，明确教学目标、课程内容、教材和评估方法</w:t>
      </w:r>
      <w:r w:rsidR="0057593B">
        <w:rPr>
          <w:rFonts w:ascii="宋体" w:hAnsi="宋体" w:cs="宋体" w:hint="eastAsia"/>
          <w:sz w:val="28"/>
          <w:szCs w:val="28"/>
        </w:rPr>
        <w:t>，</w:t>
      </w:r>
      <w:r>
        <w:rPr>
          <w:rFonts w:ascii="??_GB2312" w:eastAsia="Times New Roman"/>
          <w:sz w:val="28"/>
          <w:szCs w:val="28"/>
        </w:rPr>
        <w:t>有效落实了课程计划，专业核心课程采用考试的方式进行；</w:t>
      </w:r>
      <w:r w:rsidR="0044118A" w:rsidRPr="0044118A">
        <w:rPr>
          <w:rFonts w:ascii="宋体" w:hAnsi="宋体" w:cs="宋体" w:hint="eastAsia"/>
          <w:sz w:val="28"/>
          <w:szCs w:val="28"/>
        </w:rPr>
        <w:t>定期评估课程的质量，包括教学评估、学生反馈和教学成果评估</w:t>
      </w:r>
      <w:r w:rsidR="0044118A">
        <w:rPr>
          <w:rFonts w:ascii="宋体" w:hAnsi="宋体" w:cs="宋体" w:hint="eastAsia"/>
          <w:sz w:val="28"/>
          <w:szCs w:val="28"/>
        </w:rPr>
        <w:t>，本年度</w:t>
      </w:r>
      <w:r w:rsidR="0044118A" w:rsidRPr="0044118A">
        <w:rPr>
          <w:rFonts w:ascii="宋体" w:hAnsi="宋体" w:cs="宋体" w:hint="eastAsia"/>
          <w:sz w:val="28"/>
          <w:szCs w:val="28"/>
        </w:rPr>
        <w:t>调查了学生对课程教学的满意度。根据评估结果，进行</w:t>
      </w:r>
      <w:r w:rsidR="0044118A">
        <w:rPr>
          <w:rFonts w:ascii="宋体" w:hAnsi="宋体" w:cs="宋体" w:hint="eastAsia"/>
          <w:sz w:val="28"/>
          <w:szCs w:val="28"/>
        </w:rPr>
        <w:t>了</w:t>
      </w:r>
      <w:r w:rsidR="0044118A" w:rsidRPr="0044118A">
        <w:rPr>
          <w:rFonts w:ascii="宋体" w:hAnsi="宋体" w:cs="宋体" w:hint="eastAsia"/>
          <w:sz w:val="28"/>
          <w:szCs w:val="28"/>
        </w:rPr>
        <w:t>必要的改进和调整</w:t>
      </w:r>
      <w:r>
        <w:rPr>
          <w:rFonts w:ascii="??_GB2312" w:eastAsia="Times New Roman"/>
          <w:sz w:val="28"/>
          <w:szCs w:val="28"/>
        </w:rPr>
        <w:t>；教学档案齐全</w:t>
      </w:r>
      <w:r w:rsidR="0044118A">
        <w:rPr>
          <w:rFonts w:ascii="宋体" w:hAnsi="宋体" w:cs="宋体" w:hint="eastAsia"/>
          <w:sz w:val="28"/>
          <w:szCs w:val="28"/>
        </w:rPr>
        <w:t>。</w:t>
      </w:r>
      <w:r w:rsidR="0057593B">
        <w:rPr>
          <w:rFonts w:ascii="??_GB2312" w:hint="eastAsia"/>
          <w:sz w:val="28"/>
          <w:szCs w:val="28"/>
        </w:rPr>
        <w:t>学位点</w:t>
      </w:r>
      <w:r>
        <w:rPr>
          <w:rFonts w:ascii="??_GB2312" w:eastAsia="Times New Roman"/>
          <w:sz w:val="28"/>
          <w:szCs w:val="28"/>
        </w:rPr>
        <w:t>有详细的学位论文写作规范、评阅规则、核查办法和答辩流程。所有导师无任何违反师德师风的行为，能够认真立德树人；要求导师积极参加</w:t>
      </w:r>
      <w:r>
        <w:rPr>
          <w:rFonts w:ascii="??_GB2312" w:eastAsia="Times New Roman"/>
          <w:sz w:val="28"/>
          <w:szCs w:val="28"/>
        </w:rPr>
        <w:t>MPAcc</w:t>
      </w:r>
      <w:r>
        <w:rPr>
          <w:rFonts w:ascii="??_GB2312" w:eastAsia="Times New Roman"/>
          <w:sz w:val="28"/>
          <w:szCs w:val="28"/>
        </w:rPr>
        <w:t>教</w:t>
      </w:r>
      <w:r w:rsidR="00813173">
        <w:rPr>
          <w:rFonts w:ascii="宋体" w:hAnsi="宋体" w:cs="宋体" w:hint="eastAsia"/>
          <w:sz w:val="28"/>
          <w:szCs w:val="28"/>
        </w:rPr>
        <w:t>指</w:t>
      </w:r>
      <w:r>
        <w:rPr>
          <w:rFonts w:ascii="??_GB2312" w:eastAsia="Times New Roman"/>
          <w:sz w:val="28"/>
          <w:szCs w:val="28"/>
        </w:rPr>
        <w:t>委和学校举办的线上线下培训会议。</w:t>
      </w:r>
    </w:p>
    <w:p w14:paraId="43F3D88A"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9.</w:t>
      </w:r>
      <w:r>
        <w:rPr>
          <w:rFonts w:ascii="??_GB2312" w:eastAsia="Times New Roman"/>
          <w:b/>
          <w:bCs/>
          <w:sz w:val="28"/>
          <w:szCs w:val="28"/>
        </w:rPr>
        <w:t>学风建设</w:t>
      </w:r>
    </w:p>
    <w:p w14:paraId="7CC6F40E"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拥有明确的学术不端行为处理办法和管理机制，且得到了有效执行，导师与研究生均能很好地遵守科学道德和学术规范，无任何违规行为。</w:t>
      </w:r>
    </w:p>
    <w:p w14:paraId="778DB9B0"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10.</w:t>
      </w:r>
      <w:r>
        <w:rPr>
          <w:rFonts w:ascii="??_GB2312" w:eastAsia="Times New Roman"/>
          <w:b/>
          <w:bCs/>
          <w:sz w:val="28"/>
          <w:szCs w:val="28"/>
        </w:rPr>
        <w:t>管理服务</w:t>
      </w:r>
    </w:p>
    <w:p w14:paraId="131997D7"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配备了专职的研究生教学秘书、辅导员、中心主任和学位点负责人、畅通了沟通渠道、完善了制度，在读研究生满意度高。</w:t>
      </w:r>
    </w:p>
    <w:p w14:paraId="57E2D32B"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11.</w:t>
      </w:r>
      <w:r>
        <w:rPr>
          <w:rFonts w:ascii="??_GB2312" w:eastAsia="Times New Roman"/>
          <w:b/>
          <w:bCs/>
          <w:sz w:val="28"/>
          <w:szCs w:val="28"/>
        </w:rPr>
        <w:t>就业发展</w:t>
      </w:r>
    </w:p>
    <w:p w14:paraId="33CBFE13" w14:textId="52D4ECF3" w:rsidR="00E079F0" w:rsidRDefault="00E079F0" w:rsidP="0010113C">
      <w:pPr>
        <w:spacing w:line="400" w:lineRule="exact"/>
        <w:ind w:firstLineChars="200" w:firstLine="560"/>
        <w:rPr>
          <w:rFonts w:ascii="??_GB2312"/>
          <w:sz w:val="28"/>
          <w:szCs w:val="28"/>
        </w:rPr>
      </w:pPr>
      <w:r>
        <w:rPr>
          <w:rFonts w:ascii="??_GB2312" w:eastAsia="Times New Roman"/>
          <w:sz w:val="28"/>
          <w:szCs w:val="28"/>
        </w:rPr>
        <w:t>学位点目前尚未有毕业生，但从</w:t>
      </w:r>
      <w:r w:rsidR="00813173">
        <w:rPr>
          <w:rFonts w:ascii="宋体" w:hAnsi="宋体" w:cs="宋体" w:hint="eastAsia"/>
          <w:sz w:val="28"/>
          <w:szCs w:val="28"/>
        </w:rPr>
        <w:t>此次</w:t>
      </w:r>
      <w:r>
        <w:rPr>
          <w:rFonts w:ascii="??_GB2312" w:eastAsia="Times New Roman"/>
          <w:sz w:val="28"/>
          <w:szCs w:val="28"/>
        </w:rPr>
        <w:t>双选会视角来看，当前各会计师事务所和财税企业普遍缺人，因此就业前景广阔。</w:t>
      </w:r>
    </w:p>
    <w:p w14:paraId="33DEF67F" w14:textId="77777777" w:rsidR="00E079F0" w:rsidRDefault="00E079F0" w:rsidP="0010113C">
      <w:pPr>
        <w:numPr>
          <w:ilvl w:val="0"/>
          <w:numId w:val="2"/>
        </w:numPr>
        <w:spacing w:line="360" w:lineRule="auto"/>
        <w:ind w:firstLineChars="200" w:firstLine="562"/>
        <w:rPr>
          <w:rFonts w:ascii="??_GB2312"/>
          <w:b/>
          <w:bCs/>
          <w:sz w:val="28"/>
          <w:szCs w:val="28"/>
        </w:rPr>
      </w:pPr>
      <w:r>
        <w:rPr>
          <w:rFonts w:ascii="??_GB2312" w:eastAsia="Times New Roman"/>
          <w:b/>
          <w:bCs/>
          <w:sz w:val="28"/>
          <w:szCs w:val="28"/>
        </w:rPr>
        <w:t>服务贡献</w:t>
      </w:r>
    </w:p>
    <w:p w14:paraId="0BA32694"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lastRenderedPageBreak/>
        <w:t>1.</w:t>
      </w:r>
      <w:r>
        <w:rPr>
          <w:rFonts w:ascii="??_GB2312" w:eastAsia="Times New Roman"/>
          <w:b/>
          <w:bCs/>
          <w:sz w:val="28"/>
          <w:szCs w:val="28"/>
        </w:rPr>
        <w:t>经济发展</w:t>
      </w:r>
    </w:p>
    <w:p w14:paraId="0D0BB756"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由于目前尚未有毕业生，学位点培养的人才均以实习实训的形式进入会计师事务所和财税企业，有效弥补了上述单位的人力短缺问题，助力了其业务保质保量的完成，产生了一定的经济社会效益。</w:t>
      </w:r>
    </w:p>
    <w:p w14:paraId="1585213B" w14:textId="77777777" w:rsidR="00E079F0" w:rsidRDefault="00E079F0" w:rsidP="0010113C">
      <w:pPr>
        <w:spacing w:line="360" w:lineRule="auto"/>
        <w:ind w:firstLineChars="200" w:firstLine="562"/>
        <w:rPr>
          <w:rFonts w:ascii="??_GB2312"/>
          <w:b/>
          <w:bCs/>
          <w:sz w:val="28"/>
          <w:szCs w:val="28"/>
        </w:rPr>
      </w:pPr>
      <w:r>
        <w:rPr>
          <w:rFonts w:ascii="??_GB2312" w:eastAsia="Times New Roman"/>
          <w:b/>
          <w:bCs/>
          <w:sz w:val="28"/>
          <w:szCs w:val="28"/>
        </w:rPr>
        <w:t>2.</w:t>
      </w:r>
      <w:r>
        <w:rPr>
          <w:rFonts w:ascii="??_GB2312" w:eastAsia="Times New Roman"/>
          <w:b/>
          <w:bCs/>
          <w:sz w:val="28"/>
          <w:szCs w:val="28"/>
        </w:rPr>
        <w:t>文化建设</w:t>
      </w:r>
    </w:p>
    <w:p w14:paraId="2F5896BF" w14:textId="2D4D9B6E" w:rsidR="00E079F0" w:rsidRDefault="00E079F0" w:rsidP="0010113C">
      <w:pPr>
        <w:spacing w:line="400" w:lineRule="exact"/>
        <w:ind w:firstLineChars="200" w:firstLine="560"/>
        <w:rPr>
          <w:rFonts w:ascii="??_GB2312"/>
          <w:sz w:val="28"/>
          <w:szCs w:val="28"/>
        </w:rPr>
      </w:pPr>
      <w:r>
        <w:rPr>
          <w:rFonts w:ascii="??_GB2312" w:eastAsia="Times New Roman"/>
          <w:sz w:val="28"/>
          <w:szCs w:val="28"/>
        </w:rPr>
        <w:t>将财务舞弊案件分析与商业伦理和会计职业道德课程相结合，诠释了会计职业道德的重要性，提前为构建未来良好的商业环境作人才储备。</w:t>
      </w:r>
      <w:bookmarkStart w:id="0" w:name="_GoBack"/>
      <w:bookmarkEnd w:id="0"/>
      <w:r w:rsidR="005343FC">
        <w:rPr>
          <w:rFonts w:ascii="宋体" w:hAnsi="宋体" w:cs="宋体" w:hint="eastAsia"/>
          <w:sz w:val="28"/>
          <w:szCs w:val="28"/>
        </w:rPr>
        <w:t>学位点</w:t>
      </w:r>
      <w:r w:rsidR="005343FC" w:rsidRPr="005343FC">
        <w:rPr>
          <w:rFonts w:ascii="宋体" w:hAnsi="宋体" w:cs="宋体" w:hint="eastAsia"/>
          <w:sz w:val="28"/>
          <w:szCs w:val="28"/>
        </w:rPr>
        <w:t>设立学术奖励和奖学金计划，鼓励学生追求卓越，提高学术水平。</w:t>
      </w:r>
    </w:p>
    <w:p w14:paraId="749BEDB5" w14:textId="77777777" w:rsidR="00E079F0" w:rsidRDefault="00E079F0" w:rsidP="0010113C">
      <w:pPr>
        <w:spacing w:line="600" w:lineRule="exact"/>
        <w:ind w:firstLineChars="177" w:firstLine="566"/>
        <w:rPr>
          <w:rFonts w:ascii="黑体" w:eastAsia="黑体" w:hAnsi="黑体" w:cs="宋体"/>
          <w:bCs/>
          <w:sz w:val="32"/>
          <w:szCs w:val="32"/>
        </w:rPr>
      </w:pPr>
      <w:r>
        <w:rPr>
          <w:rFonts w:ascii="黑体" w:eastAsia="黑体" w:hAnsi="黑体" w:cs="宋体" w:hint="eastAsia"/>
          <w:bCs/>
          <w:sz w:val="32"/>
          <w:szCs w:val="32"/>
        </w:rPr>
        <w:t>二、学位授权点建设存在的问题</w:t>
      </w:r>
    </w:p>
    <w:p w14:paraId="1CFB2E2B" w14:textId="77777777" w:rsidR="00E079F0" w:rsidRDefault="00E079F0" w:rsidP="0010113C">
      <w:pPr>
        <w:spacing w:line="360" w:lineRule="auto"/>
        <w:ind w:firstLineChars="200" w:firstLine="562"/>
        <w:jc w:val="left"/>
        <w:rPr>
          <w:rFonts w:ascii="??_GB2312"/>
          <w:b/>
          <w:bCs/>
          <w:sz w:val="28"/>
          <w:szCs w:val="28"/>
        </w:rPr>
      </w:pPr>
      <w:r>
        <w:rPr>
          <w:rFonts w:ascii="??_GB2312" w:eastAsia="Times New Roman"/>
          <w:b/>
          <w:bCs/>
          <w:sz w:val="28"/>
          <w:szCs w:val="28"/>
        </w:rPr>
        <w:t>（一）实验室建设难以满足人才培养需求</w:t>
      </w:r>
    </w:p>
    <w:p w14:paraId="6B26F35F"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学位点现有实验室电脑等设备老化，软件少而陈旧，难以适应培养掌握业财税一体化、财务分析与共享、财务审计专业技能人才的现实需求，难以实现</w:t>
      </w:r>
      <w:r>
        <w:rPr>
          <w:rFonts w:ascii="??_GB2312" w:eastAsia="Times New Roman"/>
          <w:sz w:val="28"/>
          <w:szCs w:val="28"/>
        </w:rPr>
        <w:t>“</w:t>
      </w:r>
      <w:r>
        <w:rPr>
          <w:rFonts w:ascii="??_GB2312" w:eastAsia="Times New Roman"/>
          <w:sz w:val="28"/>
          <w:szCs w:val="28"/>
        </w:rPr>
        <w:t>入单位就上岗</w:t>
      </w:r>
      <w:r>
        <w:rPr>
          <w:rFonts w:ascii="??_GB2312" w:eastAsia="Times New Roman"/>
          <w:sz w:val="28"/>
          <w:szCs w:val="28"/>
        </w:rPr>
        <w:t>”</w:t>
      </w:r>
      <w:r>
        <w:rPr>
          <w:rFonts w:ascii="??_GB2312" w:eastAsia="Times New Roman"/>
          <w:sz w:val="28"/>
          <w:szCs w:val="28"/>
        </w:rPr>
        <w:t>的现实目标。</w:t>
      </w:r>
    </w:p>
    <w:p w14:paraId="505375DA"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（二）师资质量需要进一步提高</w:t>
      </w:r>
    </w:p>
    <w:p w14:paraId="2CDD0D3B" w14:textId="0131E28C" w:rsidR="00E079F0" w:rsidRDefault="00E079F0" w:rsidP="0010113C">
      <w:pPr>
        <w:spacing w:line="400" w:lineRule="exact"/>
        <w:ind w:firstLineChars="200" w:firstLine="560"/>
        <w:rPr>
          <w:rFonts w:ascii="??_GB2312"/>
          <w:sz w:val="28"/>
          <w:szCs w:val="28"/>
        </w:rPr>
      </w:pPr>
      <w:r>
        <w:rPr>
          <w:rFonts w:ascii="??_GB2312" w:eastAsia="Times New Roman"/>
          <w:sz w:val="28"/>
          <w:szCs w:val="28"/>
        </w:rPr>
        <w:t>师资队伍中正高级教授仅有</w:t>
      </w:r>
      <w:r>
        <w:rPr>
          <w:rFonts w:ascii="??_GB2312" w:eastAsia="Times New Roman"/>
          <w:sz w:val="28"/>
          <w:szCs w:val="28"/>
        </w:rPr>
        <w:t>1</w:t>
      </w:r>
      <w:r>
        <w:rPr>
          <w:rFonts w:ascii="??_GB2312" w:eastAsia="Times New Roman"/>
          <w:sz w:val="28"/>
          <w:szCs w:val="28"/>
        </w:rPr>
        <w:t>人，且正高级教授中没有国家级人才；</w:t>
      </w:r>
      <w:r w:rsidR="0026296A" w:rsidRPr="001D132D">
        <w:rPr>
          <w:rFonts w:ascii="??_GB2312" w:hint="eastAsia"/>
          <w:sz w:val="28"/>
          <w:szCs w:val="28"/>
        </w:rPr>
        <w:t>引进</w:t>
      </w:r>
      <w:r w:rsidR="0026296A" w:rsidRPr="001D132D">
        <w:rPr>
          <w:rFonts w:ascii="??_GB2312"/>
          <w:sz w:val="28"/>
          <w:szCs w:val="28"/>
        </w:rPr>
        <w:t>了一位财务管理专业博士，但</w:t>
      </w:r>
      <w:r w:rsidR="0026296A" w:rsidRPr="001D132D">
        <w:rPr>
          <w:rFonts w:ascii="??_GB2312" w:hint="eastAsia"/>
          <w:sz w:val="28"/>
          <w:szCs w:val="28"/>
        </w:rPr>
        <w:t>专业人才</w:t>
      </w:r>
      <w:r w:rsidR="0026296A" w:rsidRPr="001D132D">
        <w:rPr>
          <w:rFonts w:ascii="??_GB2312"/>
          <w:sz w:val="28"/>
          <w:szCs w:val="28"/>
        </w:rPr>
        <w:t>依旧</w:t>
      </w:r>
      <w:r>
        <w:rPr>
          <w:rFonts w:ascii="??_GB2312" w:eastAsia="Times New Roman"/>
          <w:sz w:val="28"/>
          <w:szCs w:val="28"/>
        </w:rPr>
        <w:t>相对较少。</w:t>
      </w:r>
    </w:p>
    <w:p w14:paraId="37514C87" w14:textId="77777777" w:rsidR="00E079F0" w:rsidRDefault="00E079F0" w:rsidP="0010113C">
      <w:pPr>
        <w:numPr>
          <w:ilvl w:val="0"/>
          <w:numId w:val="3"/>
        </w:numPr>
        <w:spacing w:line="360" w:lineRule="auto"/>
        <w:ind w:firstLineChars="200" w:firstLine="562"/>
        <w:rPr>
          <w:rFonts w:ascii="??_GB2312"/>
          <w:b/>
          <w:bCs/>
          <w:sz w:val="28"/>
          <w:szCs w:val="28"/>
        </w:rPr>
      </w:pPr>
      <w:r>
        <w:rPr>
          <w:rFonts w:ascii="??_GB2312" w:eastAsia="Times New Roman"/>
          <w:b/>
          <w:bCs/>
          <w:sz w:val="28"/>
          <w:szCs w:val="28"/>
        </w:rPr>
        <w:t>案例教学推广不足</w:t>
      </w:r>
    </w:p>
    <w:p w14:paraId="44F1A472" w14:textId="77777777" w:rsidR="00E079F0" w:rsidRDefault="00E079F0" w:rsidP="0010113C">
      <w:pPr>
        <w:spacing w:line="400" w:lineRule="exact"/>
        <w:ind w:firstLineChars="200" w:firstLine="560"/>
        <w:rPr>
          <w:rFonts w:ascii="??_GB2312"/>
          <w:sz w:val="28"/>
          <w:szCs w:val="28"/>
        </w:rPr>
      </w:pPr>
      <w:r>
        <w:rPr>
          <w:rFonts w:ascii="??_GB2312" w:eastAsia="Times New Roman"/>
          <w:sz w:val="28"/>
          <w:szCs w:val="28"/>
        </w:rPr>
        <w:t>部分任课教师尚未掌握案例教学的关键要素，难以有效开展案例教学；教师原创优秀案例很少，也在一定程度上限制了案例教学的开展。</w:t>
      </w:r>
    </w:p>
    <w:p w14:paraId="053E753F" w14:textId="77777777" w:rsidR="00E079F0" w:rsidRDefault="00E079F0" w:rsidP="0010113C">
      <w:pPr>
        <w:spacing w:line="360" w:lineRule="auto"/>
        <w:ind w:firstLineChars="200" w:firstLine="562"/>
        <w:rPr>
          <w:rFonts w:ascii="??_GB2312"/>
          <w:sz w:val="28"/>
          <w:szCs w:val="28"/>
        </w:rPr>
      </w:pPr>
      <w:r>
        <w:rPr>
          <w:rFonts w:ascii="??_GB2312" w:eastAsia="Times New Roman"/>
          <w:b/>
          <w:bCs/>
          <w:sz w:val="28"/>
          <w:szCs w:val="28"/>
        </w:rPr>
        <w:t>（四）行业导师作用发挥不明显</w:t>
      </w:r>
    </w:p>
    <w:p w14:paraId="48249E78" w14:textId="77777777" w:rsidR="00E079F0" w:rsidRDefault="00E079F0" w:rsidP="0010113C">
      <w:pPr>
        <w:spacing w:line="400" w:lineRule="exact"/>
        <w:ind w:firstLineChars="200" w:firstLine="560"/>
        <w:rPr>
          <w:rFonts w:ascii="黑体" w:eastAsia="黑体" w:hAnsi="黑体" w:cs="宋体"/>
          <w:bCs/>
          <w:sz w:val="32"/>
          <w:szCs w:val="32"/>
        </w:rPr>
      </w:pPr>
      <w:r>
        <w:rPr>
          <w:rFonts w:ascii="??_GB2312" w:eastAsia="Times New Roman"/>
          <w:sz w:val="28"/>
          <w:szCs w:val="28"/>
        </w:rPr>
        <w:t>学位点虽然也聘请了</w:t>
      </w:r>
      <w:r>
        <w:rPr>
          <w:rFonts w:ascii="??_GB2312" w:eastAsia="Times New Roman"/>
          <w:sz w:val="28"/>
          <w:szCs w:val="28"/>
        </w:rPr>
        <w:t>10</w:t>
      </w:r>
      <w:r>
        <w:rPr>
          <w:rFonts w:ascii="??_GB2312" w:eastAsia="Times New Roman"/>
          <w:sz w:val="28"/>
          <w:szCs w:val="28"/>
        </w:rPr>
        <w:t>余名行业导师，但他们大多业务繁忙，时间紧张，难以完全发挥他们的积极作用。</w:t>
      </w:r>
    </w:p>
    <w:p w14:paraId="3FE03E5B" w14:textId="77777777" w:rsidR="00E079F0" w:rsidRDefault="00E079F0" w:rsidP="0010113C">
      <w:pPr>
        <w:spacing w:line="600" w:lineRule="exact"/>
        <w:ind w:firstLineChars="200" w:firstLine="640"/>
        <w:jc w:val="left"/>
        <w:rPr>
          <w:rFonts w:ascii="黑体" w:eastAsia="黑体" w:hAnsi="黑体" w:cs="宋体"/>
          <w:bCs/>
          <w:sz w:val="32"/>
          <w:szCs w:val="32"/>
        </w:rPr>
      </w:pPr>
      <w:r>
        <w:rPr>
          <w:rFonts w:ascii="黑体" w:eastAsia="黑体" w:hAnsi="黑体" w:cs="宋体" w:hint="eastAsia"/>
          <w:bCs/>
          <w:sz w:val="32"/>
          <w:szCs w:val="32"/>
        </w:rPr>
        <w:t>三、下一年度建设计划</w:t>
      </w:r>
    </w:p>
    <w:p w14:paraId="18C4FDF4" w14:textId="77777777" w:rsidR="00E079F0" w:rsidRDefault="00E079F0" w:rsidP="0010113C">
      <w:pPr>
        <w:spacing w:line="360" w:lineRule="auto"/>
        <w:ind w:firstLineChars="200" w:firstLine="562"/>
        <w:jc w:val="left"/>
        <w:rPr>
          <w:rFonts w:ascii="??_GB2312"/>
          <w:b/>
          <w:bCs/>
          <w:sz w:val="28"/>
          <w:szCs w:val="28"/>
        </w:rPr>
      </w:pPr>
      <w:r>
        <w:rPr>
          <w:rFonts w:ascii="??_GB2312" w:eastAsia="Times New Roman"/>
          <w:b/>
          <w:bCs/>
          <w:sz w:val="28"/>
          <w:szCs w:val="28"/>
        </w:rPr>
        <w:t>（一）建设智能财务实验室</w:t>
      </w:r>
    </w:p>
    <w:p w14:paraId="584F4BC3" w14:textId="1DDA51F7" w:rsidR="00E079F0" w:rsidRDefault="0026296A" w:rsidP="0010113C">
      <w:pPr>
        <w:spacing w:line="400" w:lineRule="exact"/>
        <w:ind w:firstLineChars="200" w:firstLine="560"/>
        <w:jc w:val="left"/>
        <w:rPr>
          <w:rFonts w:ascii="??_GB2312"/>
          <w:sz w:val="28"/>
          <w:szCs w:val="28"/>
        </w:rPr>
      </w:pPr>
      <w:r w:rsidRPr="001D132D">
        <w:rPr>
          <w:rFonts w:ascii="??_GB2312" w:hint="eastAsia"/>
          <w:sz w:val="28"/>
          <w:szCs w:val="28"/>
        </w:rPr>
        <w:t>继续</w:t>
      </w:r>
      <w:r w:rsidR="00E079F0">
        <w:rPr>
          <w:rFonts w:ascii="??_GB2312" w:eastAsia="Times New Roman"/>
          <w:sz w:val="28"/>
          <w:szCs w:val="28"/>
        </w:rPr>
        <w:t>积极</w:t>
      </w:r>
      <w:r w:rsidRPr="001D132D">
        <w:rPr>
          <w:rFonts w:ascii="??_GB2312" w:hint="eastAsia"/>
          <w:sz w:val="28"/>
          <w:szCs w:val="28"/>
        </w:rPr>
        <w:t>申请</w:t>
      </w:r>
      <w:r w:rsidR="00E079F0">
        <w:rPr>
          <w:rFonts w:ascii="??_GB2312" w:eastAsia="Times New Roman"/>
          <w:sz w:val="28"/>
          <w:szCs w:val="28"/>
        </w:rPr>
        <w:t>中央和省财政厅的专项学科建设经费，建设智能财务实验室，更新设备，购买业财税一体化、财务分析、财务共享、财务审计软件，</w:t>
      </w:r>
      <w:r w:rsidR="00CD617F">
        <w:rPr>
          <w:rFonts w:ascii="宋体" w:hAnsi="宋体" w:cs="宋体" w:hint="eastAsia"/>
          <w:sz w:val="28"/>
          <w:szCs w:val="28"/>
        </w:rPr>
        <w:t>加强学生对</w:t>
      </w:r>
      <w:r w:rsidR="00CD617F" w:rsidRPr="00CD617F">
        <w:rPr>
          <w:rFonts w:ascii="宋体" w:hAnsi="宋体" w:cs="宋体" w:hint="eastAsia"/>
          <w:sz w:val="28"/>
          <w:szCs w:val="28"/>
        </w:rPr>
        <w:t>数据分析软件</w:t>
      </w:r>
      <w:r w:rsidR="00CD617F">
        <w:rPr>
          <w:rFonts w:ascii="宋体" w:hAnsi="宋体" w:cs="宋体" w:hint="eastAsia"/>
          <w:sz w:val="28"/>
          <w:szCs w:val="28"/>
        </w:rPr>
        <w:t>（</w:t>
      </w:r>
      <w:r w:rsidR="00CD617F" w:rsidRPr="00CD617F">
        <w:rPr>
          <w:rFonts w:ascii="宋体" w:hAnsi="宋体" w:cs="宋体" w:hint="eastAsia"/>
          <w:sz w:val="28"/>
          <w:szCs w:val="28"/>
        </w:rPr>
        <w:t>如</w:t>
      </w:r>
      <w:r w:rsidR="00CD617F" w:rsidRPr="00CD617F">
        <w:rPr>
          <w:rFonts w:ascii="??_GB2312" w:eastAsia="Times New Roman" w:hint="eastAsia"/>
          <w:sz w:val="28"/>
          <w:szCs w:val="28"/>
        </w:rPr>
        <w:t>Excel</w:t>
      </w:r>
      <w:r w:rsidR="00CD617F" w:rsidRPr="00CD617F">
        <w:rPr>
          <w:rFonts w:ascii="宋体" w:hAnsi="宋体" w:cs="宋体" w:hint="eastAsia"/>
          <w:sz w:val="28"/>
          <w:szCs w:val="28"/>
        </w:rPr>
        <w:t>、</w:t>
      </w:r>
      <w:r w:rsidR="00CD617F" w:rsidRPr="00CD617F">
        <w:rPr>
          <w:rFonts w:ascii="??_GB2312" w:eastAsia="Times New Roman" w:hint="eastAsia"/>
          <w:sz w:val="28"/>
          <w:szCs w:val="28"/>
        </w:rPr>
        <w:t>Tableau</w:t>
      </w:r>
      <w:r w:rsidR="00CD617F" w:rsidRPr="00CD617F">
        <w:rPr>
          <w:rFonts w:ascii="宋体" w:hAnsi="宋体" w:cs="宋体" w:hint="eastAsia"/>
          <w:sz w:val="28"/>
          <w:szCs w:val="28"/>
        </w:rPr>
        <w:t>、</w:t>
      </w:r>
      <w:r w:rsidR="00CD617F" w:rsidRPr="00CD617F">
        <w:rPr>
          <w:rFonts w:ascii="??_GB2312" w:eastAsia="Times New Roman" w:hint="eastAsia"/>
          <w:sz w:val="28"/>
          <w:szCs w:val="28"/>
        </w:rPr>
        <w:t>Python</w:t>
      </w:r>
      <w:r w:rsidR="00CD617F" w:rsidRPr="00CD617F">
        <w:rPr>
          <w:rFonts w:ascii="宋体" w:hAnsi="宋体" w:cs="宋体" w:hint="eastAsia"/>
          <w:sz w:val="28"/>
          <w:szCs w:val="28"/>
        </w:rPr>
        <w:lastRenderedPageBreak/>
        <w:t>等</w:t>
      </w:r>
      <w:r w:rsidR="00CD617F">
        <w:rPr>
          <w:rFonts w:ascii="宋体" w:hAnsi="宋体" w:cs="宋体" w:hint="eastAsia"/>
          <w:sz w:val="28"/>
          <w:szCs w:val="28"/>
        </w:rPr>
        <w:t>）的熟练运用</w:t>
      </w:r>
      <w:r w:rsidR="00CD617F" w:rsidRPr="00CD617F">
        <w:rPr>
          <w:rFonts w:ascii="宋体" w:hAnsi="宋体" w:cs="宋体" w:hint="eastAsia"/>
          <w:sz w:val="28"/>
          <w:szCs w:val="28"/>
        </w:rPr>
        <w:t>，来处理和分析财务数据。</w:t>
      </w:r>
      <w:r w:rsidR="00E079F0">
        <w:rPr>
          <w:rFonts w:ascii="??_GB2312" w:eastAsia="Times New Roman"/>
          <w:sz w:val="28"/>
          <w:szCs w:val="28"/>
        </w:rPr>
        <w:t>通过一体化融合教学实现</w:t>
      </w:r>
      <w:r w:rsidR="00E079F0">
        <w:rPr>
          <w:rFonts w:ascii="??_GB2312" w:eastAsia="Times New Roman"/>
          <w:sz w:val="28"/>
          <w:szCs w:val="28"/>
        </w:rPr>
        <w:t>“</w:t>
      </w:r>
      <w:r w:rsidR="00E079F0">
        <w:rPr>
          <w:rFonts w:ascii="??_GB2312" w:eastAsia="Times New Roman"/>
          <w:sz w:val="28"/>
          <w:szCs w:val="28"/>
        </w:rPr>
        <w:t>入单位就上岗</w:t>
      </w:r>
      <w:r w:rsidR="00E079F0">
        <w:rPr>
          <w:rFonts w:ascii="??_GB2312" w:eastAsia="Times New Roman"/>
          <w:sz w:val="28"/>
          <w:szCs w:val="28"/>
        </w:rPr>
        <w:t>”</w:t>
      </w:r>
      <w:r w:rsidR="00E079F0">
        <w:rPr>
          <w:rFonts w:ascii="??_GB2312" w:eastAsia="Times New Roman"/>
          <w:sz w:val="28"/>
          <w:szCs w:val="28"/>
        </w:rPr>
        <w:t>的现实目标。</w:t>
      </w:r>
    </w:p>
    <w:p w14:paraId="751A54AC" w14:textId="77777777" w:rsidR="00E079F0" w:rsidRPr="0010113C" w:rsidRDefault="00E079F0" w:rsidP="0010113C">
      <w:pPr>
        <w:spacing w:line="360" w:lineRule="auto"/>
        <w:ind w:firstLineChars="200" w:firstLine="562"/>
        <w:jc w:val="left"/>
        <w:rPr>
          <w:rFonts w:ascii="??_GB2312" w:eastAsia="Times New Roman"/>
          <w:b/>
          <w:bCs/>
          <w:sz w:val="28"/>
          <w:szCs w:val="28"/>
        </w:rPr>
      </w:pPr>
      <w:r w:rsidRPr="0010113C">
        <w:rPr>
          <w:rFonts w:ascii="??_GB2312" w:eastAsia="Times New Roman"/>
          <w:b/>
          <w:bCs/>
          <w:sz w:val="28"/>
          <w:szCs w:val="28"/>
        </w:rPr>
        <w:t>（二）建设校企合作基地</w:t>
      </w:r>
    </w:p>
    <w:p w14:paraId="0E2F4CB7" w14:textId="77777777" w:rsidR="00E079F0" w:rsidRPr="0010113C" w:rsidRDefault="00E079F0" w:rsidP="0010113C">
      <w:pPr>
        <w:spacing w:line="400" w:lineRule="exact"/>
        <w:ind w:firstLineChars="200" w:firstLine="560"/>
        <w:jc w:val="left"/>
        <w:rPr>
          <w:rFonts w:ascii="??_GB2312"/>
          <w:sz w:val="28"/>
          <w:szCs w:val="28"/>
        </w:rPr>
      </w:pPr>
      <w:r>
        <w:rPr>
          <w:rFonts w:ascii="??_GB2312" w:hint="eastAsia"/>
          <w:sz w:val="28"/>
          <w:szCs w:val="28"/>
        </w:rPr>
        <w:t>与恒信财税达成协议，共建校企合作基地，以学院电脑实验室为依托，恒信财税优秀员工进校入室，指导学生在线实际做账，在完成恒信财税做账任务的同时，满足学生实境真实做账需求；讲解企业注册与报税等流程，使学生企业实际财税业务流程。</w:t>
      </w:r>
    </w:p>
    <w:p w14:paraId="479EB044" w14:textId="77777777"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（二）利用迁址太原的地缘优势引进人才</w:t>
      </w:r>
    </w:p>
    <w:p w14:paraId="2DDD0BDA" w14:textId="77777777" w:rsidR="00E079F0" w:rsidRDefault="00E079F0" w:rsidP="0010113C">
      <w:pPr>
        <w:spacing w:line="400" w:lineRule="exact"/>
        <w:ind w:firstLineChars="200" w:firstLine="560"/>
        <w:jc w:val="left"/>
        <w:rPr>
          <w:rFonts w:ascii="??_GB2312"/>
          <w:sz w:val="28"/>
          <w:szCs w:val="28"/>
        </w:rPr>
      </w:pPr>
      <w:r>
        <w:rPr>
          <w:rFonts w:ascii="??_GB2312" w:eastAsia="Times New Roman"/>
          <w:sz w:val="28"/>
          <w:szCs w:val="28"/>
        </w:rPr>
        <w:t>2021</w:t>
      </w:r>
      <w:r>
        <w:rPr>
          <w:rFonts w:ascii="??_GB2312" w:eastAsia="Times New Roman"/>
          <w:sz w:val="28"/>
          <w:szCs w:val="28"/>
        </w:rPr>
        <w:t>年学校整体迁址，太原市有着良好的地缘优势和人才引进政策，</w:t>
      </w:r>
      <w:r>
        <w:rPr>
          <w:rFonts w:ascii="??_GB2312" w:eastAsia="Times New Roman"/>
          <w:sz w:val="28"/>
          <w:szCs w:val="28"/>
        </w:rPr>
        <w:t>2022</w:t>
      </w:r>
      <w:r>
        <w:rPr>
          <w:rFonts w:ascii="??_GB2312" w:eastAsia="Times New Roman"/>
          <w:sz w:val="28"/>
          <w:szCs w:val="28"/>
        </w:rPr>
        <w:t>年学位点将充分利用新媒体传播速度快而广的特点招贤纳才，引入会计学或财务管理专业博士</w:t>
      </w:r>
      <w:r>
        <w:rPr>
          <w:rFonts w:ascii="??_GB2312" w:eastAsia="Times New Roman"/>
          <w:sz w:val="28"/>
          <w:szCs w:val="28"/>
        </w:rPr>
        <w:t>3</w:t>
      </w:r>
      <w:r>
        <w:rPr>
          <w:rFonts w:ascii="??_GB2312" w:eastAsia="Times New Roman"/>
          <w:sz w:val="28"/>
          <w:szCs w:val="28"/>
        </w:rPr>
        <w:t>人左右，充实师资队伍，提升培养水平。</w:t>
      </w:r>
    </w:p>
    <w:p w14:paraId="141C7A4C" w14:textId="77777777"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（三）组织教师参加案例教学和案例编写培训</w:t>
      </w:r>
    </w:p>
    <w:p w14:paraId="238C6FC1" w14:textId="77777777" w:rsidR="00E079F0" w:rsidRDefault="00E079F0" w:rsidP="0010113C">
      <w:pPr>
        <w:spacing w:line="400" w:lineRule="exact"/>
        <w:ind w:firstLineChars="200" w:firstLine="560"/>
        <w:jc w:val="left"/>
        <w:rPr>
          <w:rFonts w:ascii="??_GB2312"/>
          <w:sz w:val="28"/>
          <w:szCs w:val="28"/>
        </w:rPr>
      </w:pPr>
      <w:r>
        <w:rPr>
          <w:rFonts w:ascii="??_GB2312" w:eastAsia="Times New Roman"/>
          <w:sz w:val="28"/>
          <w:szCs w:val="28"/>
        </w:rPr>
        <w:t>积极选派教师参加由</w:t>
      </w:r>
      <w:r>
        <w:rPr>
          <w:rFonts w:ascii="??_GB2312" w:eastAsia="Times New Roman"/>
          <w:sz w:val="28"/>
          <w:szCs w:val="28"/>
        </w:rPr>
        <w:t>MPAcc</w:t>
      </w:r>
      <w:r>
        <w:rPr>
          <w:rFonts w:ascii="??_GB2312" w:eastAsia="Times New Roman"/>
          <w:sz w:val="28"/>
          <w:szCs w:val="28"/>
        </w:rPr>
        <w:t>教指委组织的案例教学和案例编写培训，积极选派教师指导学生参加案例大赛，通过学习与指导案例提升案例教学水平和写作水平。</w:t>
      </w:r>
    </w:p>
    <w:p w14:paraId="5DA81727" w14:textId="77777777" w:rsidR="00E079F0" w:rsidRDefault="00E079F0" w:rsidP="0010113C">
      <w:pPr>
        <w:spacing w:line="360" w:lineRule="auto"/>
        <w:ind w:firstLineChars="200" w:firstLine="562"/>
        <w:jc w:val="left"/>
        <w:rPr>
          <w:rFonts w:ascii="??_GB2312"/>
          <w:sz w:val="28"/>
          <w:szCs w:val="28"/>
        </w:rPr>
      </w:pPr>
      <w:r>
        <w:rPr>
          <w:rFonts w:ascii="??_GB2312" w:eastAsia="Times New Roman"/>
          <w:b/>
          <w:bCs/>
          <w:sz w:val="28"/>
          <w:szCs w:val="28"/>
        </w:rPr>
        <w:t>（四）沟通协调解决好行业导师作用问题</w:t>
      </w:r>
    </w:p>
    <w:p w14:paraId="148D1D6B" w14:textId="6D25C3D5" w:rsidR="00E079F0" w:rsidRDefault="00E079F0" w:rsidP="0010113C">
      <w:pPr>
        <w:spacing w:line="400" w:lineRule="exact"/>
        <w:ind w:firstLineChars="200" w:firstLine="560"/>
        <w:jc w:val="left"/>
        <w:rPr>
          <w:rFonts w:ascii="??_GB2312"/>
          <w:sz w:val="28"/>
          <w:szCs w:val="28"/>
        </w:rPr>
      </w:pPr>
      <w:r>
        <w:rPr>
          <w:rFonts w:ascii="??_GB2312" w:eastAsia="Times New Roman"/>
          <w:sz w:val="28"/>
          <w:szCs w:val="28"/>
        </w:rPr>
        <w:t>积极与行业导师沟通，</w:t>
      </w:r>
      <w:r w:rsidR="007603DA" w:rsidRPr="001D132D">
        <w:rPr>
          <w:rFonts w:ascii="??_GB2312" w:hint="eastAsia"/>
          <w:sz w:val="28"/>
          <w:szCs w:val="28"/>
        </w:rPr>
        <w:t>建立</w:t>
      </w:r>
      <w:r w:rsidR="00924688" w:rsidRPr="001D132D">
        <w:rPr>
          <w:rFonts w:ascii="??_GB2312" w:hint="eastAsia"/>
          <w:sz w:val="28"/>
          <w:szCs w:val="28"/>
        </w:rPr>
        <w:t>相互</w:t>
      </w:r>
      <w:r w:rsidR="007603DA" w:rsidRPr="001D132D">
        <w:rPr>
          <w:rFonts w:ascii="??_GB2312" w:hint="eastAsia"/>
          <w:sz w:val="28"/>
          <w:szCs w:val="28"/>
        </w:rPr>
        <w:t>约束</w:t>
      </w:r>
      <w:r w:rsidR="007603DA" w:rsidRPr="001D132D">
        <w:rPr>
          <w:rFonts w:ascii="??_GB2312"/>
          <w:sz w:val="28"/>
          <w:szCs w:val="28"/>
        </w:rPr>
        <w:t>机制</w:t>
      </w:r>
      <w:r>
        <w:rPr>
          <w:rFonts w:ascii="??_GB2312" w:eastAsia="Times New Roman"/>
          <w:sz w:val="28"/>
          <w:szCs w:val="28"/>
        </w:rPr>
        <w:t>。</w:t>
      </w:r>
    </w:p>
    <w:p w14:paraId="04AE5B14" w14:textId="77777777" w:rsidR="00E079F0" w:rsidRDefault="00E079F0">
      <w:pPr>
        <w:spacing w:line="360" w:lineRule="auto"/>
        <w:rPr>
          <w:rFonts w:ascii="黑体" w:eastAsia="黑体" w:hAnsi="黑体" w:cs="黑体"/>
          <w:b/>
          <w:bCs/>
          <w:sz w:val="24"/>
          <w:szCs w:val="24"/>
        </w:rPr>
      </w:pPr>
    </w:p>
    <w:p w14:paraId="2FE8D380" w14:textId="77777777" w:rsidR="00E079F0" w:rsidRDefault="00E079F0">
      <w:pPr>
        <w:spacing w:line="360" w:lineRule="auto"/>
        <w:rPr>
          <w:rFonts w:ascii="黑体" w:eastAsia="黑体" w:hAnsi="黑体" w:cs="黑体"/>
          <w:b/>
          <w:bCs/>
          <w:sz w:val="24"/>
          <w:szCs w:val="24"/>
        </w:rPr>
      </w:pPr>
    </w:p>
    <w:p w14:paraId="1206A90C" w14:textId="77777777" w:rsidR="00E079F0" w:rsidRDefault="00E079F0">
      <w:pPr>
        <w:spacing w:line="360" w:lineRule="auto"/>
        <w:rPr>
          <w:rFonts w:ascii="黑体" w:eastAsia="黑体" w:hAnsi="黑体" w:cs="黑体"/>
          <w:b/>
          <w:bCs/>
          <w:sz w:val="24"/>
          <w:szCs w:val="24"/>
        </w:rPr>
      </w:pPr>
    </w:p>
    <w:p w14:paraId="248FF925" w14:textId="77777777" w:rsidR="00E079F0" w:rsidRDefault="00E079F0">
      <w:pPr>
        <w:spacing w:line="360" w:lineRule="auto"/>
        <w:rPr>
          <w:rFonts w:ascii="黑体" w:eastAsia="黑体" w:hAnsi="黑体" w:cs="黑体"/>
          <w:b/>
          <w:bCs/>
          <w:sz w:val="24"/>
          <w:szCs w:val="24"/>
        </w:rPr>
      </w:pPr>
    </w:p>
    <w:p w14:paraId="4255B45E" w14:textId="77777777" w:rsidR="00E079F0" w:rsidRDefault="00E079F0">
      <w:pPr>
        <w:spacing w:line="360" w:lineRule="auto"/>
        <w:rPr>
          <w:rFonts w:ascii="黑体" w:eastAsia="黑体" w:hAnsi="黑体" w:cs="黑体"/>
          <w:b/>
          <w:bCs/>
          <w:sz w:val="24"/>
          <w:szCs w:val="24"/>
        </w:rPr>
      </w:pPr>
    </w:p>
    <w:p w14:paraId="6CF54F44" w14:textId="77777777" w:rsidR="00E079F0" w:rsidRDefault="00E079F0">
      <w:pPr>
        <w:spacing w:line="360" w:lineRule="auto"/>
        <w:rPr>
          <w:rFonts w:ascii="黑体" w:eastAsia="黑体" w:hAnsi="黑体" w:cs="黑体"/>
          <w:b/>
          <w:bCs/>
          <w:sz w:val="24"/>
          <w:szCs w:val="24"/>
        </w:rPr>
      </w:pPr>
    </w:p>
    <w:p w14:paraId="19EECABB" w14:textId="77777777" w:rsidR="00E079F0" w:rsidRDefault="00E079F0">
      <w:pPr>
        <w:spacing w:line="360" w:lineRule="auto"/>
        <w:rPr>
          <w:rFonts w:ascii="黑体" w:eastAsia="黑体" w:hAnsi="黑体" w:cs="黑体"/>
          <w:b/>
          <w:bCs/>
          <w:sz w:val="24"/>
          <w:szCs w:val="24"/>
        </w:rPr>
      </w:pPr>
    </w:p>
    <w:sectPr w:rsidR="00E079F0" w:rsidSect="00535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2199" w14:textId="77777777" w:rsidR="00007730" w:rsidRDefault="00007730" w:rsidP="00B935EC">
      <w:r>
        <w:separator/>
      </w:r>
    </w:p>
  </w:endnote>
  <w:endnote w:type="continuationSeparator" w:id="0">
    <w:p w14:paraId="7EB316C9" w14:textId="77777777" w:rsidR="00007730" w:rsidRDefault="00007730" w:rsidP="00B9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altName w:val="等线"/>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2450" w14:textId="77777777" w:rsidR="00007730" w:rsidRDefault="00007730" w:rsidP="00B935EC">
      <w:r>
        <w:separator/>
      </w:r>
    </w:p>
  </w:footnote>
  <w:footnote w:type="continuationSeparator" w:id="0">
    <w:p w14:paraId="37B8B706" w14:textId="77777777" w:rsidR="00007730" w:rsidRDefault="00007730" w:rsidP="00B9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602D"/>
    <w:multiLevelType w:val="singleLevel"/>
    <w:tmpl w:val="23E2602D"/>
    <w:lvl w:ilvl="0">
      <w:start w:val="3"/>
      <w:numFmt w:val="chineseCounting"/>
      <w:suff w:val="nothing"/>
      <w:lvlText w:val="（%1）"/>
      <w:lvlJc w:val="left"/>
      <w:rPr>
        <w:rFonts w:cs="Times New Roman" w:hint="eastAsia"/>
      </w:rPr>
    </w:lvl>
  </w:abstractNum>
  <w:abstractNum w:abstractNumId="1" w15:restartNumberingAfterBreak="0">
    <w:nsid w:val="32D133C3"/>
    <w:multiLevelType w:val="multilevel"/>
    <w:tmpl w:val="32D133C3"/>
    <w:lvl w:ilvl="0">
      <w:start w:val="4"/>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4818BE77"/>
    <w:multiLevelType w:val="singleLevel"/>
    <w:tmpl w:val="4818BE77"/>
    <w:lvl w:ilvl="0">
      <w:start w:val="3"/>
      <w:numFmt w:val="chineseCounting"/>
      <w:suff w:val="nothing"/>
      <w:lvlText w:val="（%1）"/>
      <w:lvlJc w:val="left"/>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50"/>
    <w:rsid w:val="00007730"/>
    <w:rsid w:val="0004499B"/>
    <w:rsid w:val="00060EA2"/>
    <w:rsid w:val="000771BD"/>
    <w:rsid w:val="00084A76"/>
    <w:rsid w:val="000A6AB5"/>
    <w:rsid w:val="000C5628"/>
    <w:rsid w:val="000D2696"/>
    <w:rsid w:val="000F3E1F"/>
    <w:rsid w:val="0010113C"/>
    <w:rsid w:val="00131988"/>
    <w:rsid w:val="001566E3"/>
    <w:rsid w:val="00167A3C"/>
    <w:rsid w:val="0017778F"/>
    <w:rsid w:val="00192D9F"/>
    <w:rsid w:val="001D132D"/>
    <w:rsid w:val="001D2B2F"/>
    <w:rsid w:val="001E4CAF"/>
    <w:rsid w:val="00214004"/>
    <w:rsid w:val="0026296A"/>
    <w:rsid w:val="002A5559"/>
    <w:rsid w:val="002C1A1E"/>
    <w:rsid w:val="00307F8C"/>
    <w:rsid w:val="0033431B"/>
    <w:rsid w:val="0034158D"/>
    <w:rsid w:val="00347FD5"/>
    <w:rsid w:val="003B23A6"/>
    <w:rsid w:val="003E158A"/>
    <w:rsid w:val="00410607"/>
    <w:rsid w:val="004117FC"/>
    <w:rsid w:val="0044118A"/>
    <w:rsid w:val="00454583"/>
    <w:rsid w:val="00467DE1"/>
    <w:rsid w:val="00480ED8"/>
    <w:rsid w:val="0049330E"/>
    <w:rsid w:val="004A490F"/>
    <w:rsid w:val="004A5808"/>
    <w:rsid w:val="004D1898"/>
    <w:rsid w:val="004E188E"/>
    <w:rsid w:val="004E7796"/>
    <w:rsid w:val="0052005C"/>
    <w:rsid w:val="00533D07"/>
    <w:rsid w:val="005343FC"/>
    <w:rsid w:val="005354FC"/>
    <w:rsid w:val="005407C7"/>
    <w:rsid w:val="00564730"/>
    <w:rsid w:val="0057593B"/>
    <w:rsid w:val="0058080F"/>
    <w:rsid w:val="005D6D86"/>
    <w:rsid w:val="005E7840"/>
    <w:rsid w:val="00635D4A"/>
    <w:rsid w:val="00637B78"/>
    <w:rsid w:val="00654206"/>
    <w:rsid w:val="00680DCE"/>
    <w:rsid w:val="006D032A"/>
    <w:rsid w:val="006E72D1"/>
    <w:rsid w:val="00701F51"/>
    <w:rsid w:val="0070222A"/>
    <w:rsid w:val="007125C4"/>
    <w:rsid w:val="0071370C"/>
    <w:rsid w:val="00714AF4"/>
    <w:rsid w:val="007603DA"/>
    <w:rsid w:val="007604AD"/>
    <w:rsid w:val="00787393"/>
    <w:rsid w:val="007C4B58"/>
    <w:rsid w:val="007D79F1"/>
    <w:rsid w:val="00813173"/>
    <w:rsid w:val="0081759B"/>
    <w:rsid w:val="00885DEC"/>
    <w:rsid w:val="00894A37"/>
    <w:rsid w:val="008A43CC"/>
    <w:rsid w:val="008B4A87"/>
    <w:rsid w:val="008C3686"/>
    <w:rsid w:val="008C50EC"/>
    <w:rsid w:val="008E185D"/>
    <w:rsid w:val="008E46B9"/>
    <w:rsid w:val="008F1AEE"/>
    <w:rsid w:val="00910A3E"/>
    <w:rsid w:val="009133A9"/>
    <w:rsid w:val="00924688"/>
    <w:rsid w:val="0097746A"/>
    <w:rsid w:val="00980083"/>
    <w:rsid w:val="009C0F58"/>
    <w:rsid w:val="009C333E"/>
    <w:rsid w:val="00A064CF"/>
    <w:rsid w:val="00A20747"/>
    <w:rsid w:val="00A43975"/>
    <w:rsid w:val="00AA5D11"/>
    <w:rsid w:val="00AB19A2"/>
    <w:rsid w:val="00AB3C68"/>
    <w:rsid w:val="00B609CB"/>
    <w:rsid w:val="00B6722E"/>
    <w:rsid w:val="00B935EC"/>
    <w:rsid w:val="00BD1782"/>
    <w:rsid w:val="00BE0E46"/>
    <w:rsid w:val="00BE5EF2"/>
    <w:rsid w:val="00C8547A"/>
    <w:rsid w:val="00CA51C5"/>
    <w:rsid w:val="00CD617F"/>
    <w:rsid w:val="00D34813"/>
    <w:rsid w:val="00D5072F"/>
    <w:rsid w:val="00D74F57"/>
    <w:rsid w:val="00D91461"/>
    <w:rsid w:val="00DD0987"/>
    <w:rsid w:val="00E005B4"/>
    <w:rsid w:val="00E060AF"/>
    <w:rsid w:val="00E079F0"/>
    <w:rsid w:val="00E31F50"/>
    <w:rsid w:val="00E42D0B"/>
    <w:rsid w:val="00E554CD"/>
    <w:rsid w:val="00E57FF9"/>
    <w:rsid w:val="00E93DB9"/>
    <w:rsid w:val="00EF231D"/>
    <w:rsid w:val="00F14642"/>
    <w:rsid w:val="00F27BEC"/>
    <w:rsid w:val="00F916CC"/>
    <w:rsid w:val="00F95EBF"/>
    <w:rsid w:val="00FA34EB"/>
    <w:rsid w:val="00FD48B0"/>
    <w:rsid w:val="03EC461B"/>
    <w:rsid w:val="05191410"/>
    <w:rsid w:val="055236DB"/>
    <w:rsid w:val="07903677"/>
    <w:rsid w:val="0B016BFE"/>
    <w:rsid w:val="0D200F97"/>
    <w:rsid w:val="136E6DFB"/>
    <w:rsid w:val="147541B9"/>
    <w:rsid w:val="1CA91452"/>
    <w:rsid w:val="251170C9"/>
    <w:rsid w:val="32843AED"/>
    <w:rsid w:val="34DB3CAB"/>
    <w:rsid w:val="3F297728"/>
    <w:rsid w:val="43E564BA"/>
    <w:rsid w:val="4783216D"/>
    <w:rsid w:val="4DBC0187"/>
    <w:rsid w:val="51391047"/>
    <w:rsid w:val="56754501"/>
    <w:rsid w:val="617A5F38"/>
    <w:rsid w:val="61FE0917"/>
    <w:rsid w:val="70FC0717"/>
    <w:rsid w:val="7CC8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7AAA3"/>
  <w15:docId w15:val="{08456FD2-B9B0-4665-B997-F19EBAB3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FC"/>
    <w:pPr>
      <w:widowControl w:val="0"/>
      <w:jc w:val="both"/>
    </w:pPr>
    <w:rPr>
      <w:rFonts w:ascii="??" w: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354FC"/>
    <w:pPr>
      <w:autoSpaceDE w:val="0"/>
      <w:autoSpaceDN w:val="0"/>
      <w:adjustRightInd w:val="0"/>
      <w:ind w:left="828"/>
      <w:jc w:val="left"/>
    </w:pPr>
    <w:rPr>
      <w:rFonts w:ascii="宋体" w:hAnsi="Times New Roman" w:cs="宋体"/>
      <w:kern w:val="0"/>
      <w:sz w:val="30"/>
      <w:szCs w:val="30"/>
    </w:rPr>
  </w:style>
  <w:style w:type="character" w:customStyle="1" w:styleId="a4">
    <w:name w:val="正文文本 字符"/>
    <w:link w:val="a3"/>
    <w:uiPriority w:val="99"/>
    <w:locked/>
    <w:rsid w:val="005354FC"/>
    <w:rPr>
      <w:rFonts w:ascii="宋体" w:eastAsia="宋体" w:hAnsi="Times New Roman" w:cs="宋体"/>
      <w:sz w:val="30"/>
      <w:szCs w:val="30"/>
    </w:rPr>
  </w:style>
  <w:style w:type="paragraph" w:styleId="a5">
    <w:name w:val="Balloon Text"/>
    <w:basedOn w:val="a"/>
    <w:link w:val="a6"/>
    <w:uiPriority w:val="99"/>
    <w:semiHidden/>
    <w:rsid w:val="005354FC"/>
    <w:rPr>
      <w:sz w:val="18"/>
      <w:szCs w:val="18"/>
    </w:rPr>
  </w:style>
  <w:style w:type="character" w:customStyle="1" w:styleId="a6">
    <w:name w:val="批注框文本 字符"/>
    <w:link w:val="a5"/>
    <w:uiPriority w:val="99"/>
    <w:semiHidden/>
    <w:locked/>
    <w:rsid w:val="005354FC"/>
    <w:rPr>
      <w:rFonts w:cs="Times New Roman"/>
      <w:kern w:val="2"/>
      <w:sz w:val="18"/>
      <w:szCs w:val="18"/>
    </w:rPr>
  </w:style>
  <w:style w:type="paragraph" w:styleId="a7">
    <w:name w:val="footer"/>
    <w:basedOn w:val="a"/>
    <w:link w:val="a8"/>
    <w:uiPriority w:val="99"/>
    <w:rsid w:val="005354FC"/>
    <w:pPr>
      <w:tabs>
        <w:tab w:val="center" w:pos="4153"/>
        <w:tab w:val="right" w:pos="8306"/>
      </w:tabs>
      <w:snapToGrid w:val="0"/>
      <w:jc w:val="left"/>
    </w:pPr>
    <w:rPr>
      <w:sz w:val="18"/>
      <w:szCs w:val="18"/>
    </w:rPr>
  </w:style>
  <w:style w:type="character" w:customStyle="1" w:styleId="a8">
    <w:name w:val="页脚 字符"/>
    <w:link w:val="a7"/>
    <w:uiPriority w:val="99"/>
    <w:locked/>
    <w:rsid w:val="005354FC"/>
    <w:rPr>
      <w:rFonts w:cs="Times New Roman"/>
      <w:sz w:val="18"/>
      <w:szCs w:val="18"/>
    </w:rPr>
  </w:style>
  <w:style w:type="paragraph" w:styleId="a9">
    <w:name w:val="header"/>
    <w:basedOn w:val="a"/>
    <w:link w:val="aa"/>
    <w:uiPriority w:val="99"/>
    <w:rsid w:val="005354FC"/>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5354FC"/>
    <w:rPr>
      <w:rFonts w:cs="Times New Roman"/>
      <w:sz w:val="18"/>
      <w:szCs w:val="18"/>
    </w:rPr>
  </w:style>
  <w:style w:type="paragraph" w:styleId="ab">
    <w:name w:val="List Paragraph"/>
    <w:basedOn w:val="a"/>
    <w:uiPriority w:val="99"/>
    <w:qFormat/>
    <w:rsid w:val="005354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DELL05</dc:creator>
  <cp:keywords/>
  <dc:description/>
  <cp:lastModifiedBy>Windows 用户</cp:lastModifiedBy>
  <cp:revision>54</cp:revision>
  <cp:lastPrinted>2021-03-10T08:47:00Z</cp:lastPrinted>
  <dcterms:created xsi:type="dcterms:W3CDTF">2021-03-04T03:50:00Z</dcterms:created>
  <dcterms:modified xsi:type="dcterms:W3CDTF">2023-11-01T09:24:00Z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A672EF89787A4789BA5533534D8EFF60</vt:lpwstr>
  </property>
</Properties>
</file>